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300"/>
        <w:ind w:hanging="0" w:start="0" w:end="0"/>
        <w:jc w:val="center"/>
        <w:rPr/>
      </w:pPr>
      <w:r>
        <w:rPr/>
        <w:t>United States Department of the Treasury</w:t>
      </w:r>
    </w:p>
    <w:p>
      <w:pPr>
        <w:pStyle w:val="BodyText"/>
        <w:bidi w:val="0"/>
        <w:spacing w:before="0" w:after="300"/>
        <w:jc w:val="center"/>
        <w:rPr/>
      </w:pPr>
      <w:r>
        <w:rPr/>
        <w:t>Internal Template Master — Office of Compliance</w:t>
      </w:r>
    </w:p>
    <w:p>
      <w:pPr>
        <w:pStyle w:val="BodyText"/>
        <w:bidi w:val="0"/>
        <w:spacing w:before="0" w:after="300"/>
        <w:ind w:hanging="0" w:start="0" w:end="0"/>
        <w:jc w:val="center"/>
        <w:rPr>
          <w:b/>
        </w:rPr>
      </w:pPr>
      <w:r>
        <w:rPr>
          <w:b/>
        </w:rPr>
        <w:t>NOTICE OF ENFORCEMENT ACTION</w:t>
        <w:br/>
        <w:t xml:space="preserve">Form 10500-A (Rev. 03/2026) </w:t>
      </w:r>
    </w:p>
    <w:p>
      <w:pPr>
        <w:pStyle w:val="Heading2"/>
        <w:bidi w:val="0"/>
        <w:jc w:val="start"/>
        <w:rPr/>
      </w:pPr>
      <w:r>
        <w:rPr/>
        <w:t>1. Recipient Information</w:t>
      </w:r>
    </w:p>
    <w:p>
      <w:pPr>
        <w:pStyle w:val="BodyText"/>
        <w:bidi w:val="0"/>
        <w:spacing w:before="0" w:after="120"/>
        <w:ind w:hanging="0" w:start="0" w:end="0"/>
        <w:jc w:val="start"/>
        <w:rPr/>
      </w:pPr>
      <w:r>
        <w:rPr>
          <w:rStyle w:val="Strong"/>
        </w:rPr>
        <w:t>Name:</w:t>
      </w:r>
      <w:r>
        <w:rPr/>
        <w:t xml:space="preserve"> </w:t>
      </w:r>
    </w:p>
    <w:p>
      <w:pPr>
        <w:pStyle w:val="BodyText"/>
        <w:bidi w:val="0"/>
        <w:spacing w:before="0" w:after="120"/>
        <w:ind w:hanging="0" w:start="0" w:end="0"/>
        <w:jc w:val="start"/>
        <w:rPr/>
      </w:pPr>
      <w:r>
        <w:rPr>
          <w:rStyle w:val="Strong"/>
        </w:rPr>
        <w:t>Taxpayer Identification Number:</w:t>
      </w:r>
      <w:r>
        <w:rPr/>
        <w:t xml:space="preserve"> </w:t>
      </w:r>
    </w:p>
    <w:p>
      <w:pPr>
        <w:pStyle w:val="BodyText"/>
        <w:bidi w:val="0"/>
        <w:spacing w:before="0" w:after="120"/>
        <w:ind w:hanging="0" w:start="0" w:end="0"/>
        <w:jc w:val="start"/>
        <w:rPr/>
      </w:pPr>
      <w:r>
        <w:rPr>
          <w:rStyle w:val="Strong"/>
        </w:rPr>
        <w:t>Mailing Address:</w:t>
      </w:r>
      <w:r>
        <w:rPr/>
        <w:t xml:space="preserve"> </w:t>
      </w:r>
    </w:p>
    <w:p>
      <w:pPr>
        <w:pStyle w:val="BodyText"/>
        <w:bidi w:val="0"/>
        <w:spacing w:before="0" w:after="120"/>
        <w:ind w:hanging="0" w:start="0" w:end="0"/>
        <w:jc w:val="start"/>
        <w:rPr/>
      </w:pPr>
      <w:r>
        <w:rPr/>
        <w:t xml:space="preserve">Line 1: </w:t>
      </w:r>
    </w:p>
    <w:p>
      <w:pPr>
        <w:pStyle w:val="BodyText"/>
        <w:bidi w:val="0"/>
        <w:spacing w:before="0" w:after="120"/>
        <w:ind w:hanging="0" w:start="0" w:end="0"/>
        <w:jc w:val="start"/>
        <w:rPr/>
      </w:pPr>
      <w:r>
        <w:rPr/>
        <w:t xml:space="preserve">Line 2: </w:t>
      </w:r>
    </w:p>
    <w:p>
      <w:pPr>
        <w:pStyle w:val="BodyText"/>
        <w:bidi w:val="0"/>
        <w:spacing w:before="0" w:after="120"/>
        <w:ind w:hanging="0" w:start="0" w:end="0"/>
        <w:jc w:val="start"/>
        <w:rPr/>
      </w:pPr>
      <w:r>
        <w:rPr/>
        <w:t xml:space="preserve">City / State / ZIP: </w:t>
      </w:r>
    </w:p>
    <w:p>
      <w:pPr>
        <w:pStyle w:val="Heading2"/>
        <w:bidi w:val="0"/>
        <w:jc w:val="start"/>
        <w:rPr/>
      </w:pPr>
      <w:r>
        <w:rPr/>
        <w:t>2. Case Reference</w:t>
      </w:r>
    </w:p>
    <w:p>
      <w:pPr>
        <w:pStyle w:val="BodyText"/>
        <w:bidi w:val="0"/>
        <w:spacing w:before="0" w:after="120"/>
        <w:ind w:hanging="0" w:start="0" w:end="0"/>
        <w:jc w:val="start"/>
        <w:rPr/>
      </w:pPr>
      <w:r>
        <w:rPr>
          <w:rStyle w:val="Strong"/>
        </w:rPr>
        <w:t>Case Number:</w:t>
      </w:r>
      <w:r>
        <w:rPr/>
        <w:t xml:space="preserve"> ENF-2026- </w:t>
      </w:r>
    </w:p>
    <w:p>
      <w:pPr>
        <w:pStyle w:val="BodyText"/>
        <w:bidi w:val="0"/>
        <w:spacing w:before="0" w:after="120"/>
        <w:ind w:hanging="0" w:start="0" w:end="0"/>
        <w:jc w:val="start"/>
        <w:rPr/>
      </w:pPr>
      <w:r>
        <w:rPr>
          <w:rStyle w:val="Strong"/>
        </w:rPr>
        <w:t>Assigned Revenue Agent:</w:t>
      </w:r>
      <w:r>
        <w:rPr/>
        <w:t xml:space="preserve"> </w:t>
      </w:r>
    </w:p>
    <w:p>
      <w:pPr>
        <w:pStyle w:val="BodyText"/>
        <w:bidi w:val="0"/>
        <w:spacing w:before="0" w:after="120"/>
        <w:ind w:hanging="0" w:start="0" w:end="0"/>
        <w:jc w:val="start"/>
        <w:rPr/>
      </w:pPr>
      <w:r>
        <w:rPr>
          <w:rStyle w:val="Strong"/>
        </w:rPr>
        <w:t>Date of Assessment:</w:t>
      </w:r>
      <w:r>
        <w:rPr/>
        <w:t xml:space="preserve"> </w:t>
      </w:r>
    </w:p>
    <w:p>
      <w:pPr>
        <w:pStyle w:val="Heading2"/>
        <w:bidi w:val="0"/>
        <w:jc w:val="start"/>
        <w:rPr/>
      </w:pPr>
      <w:r>
        <w:rPr/>
        <w:t>3. Basis for Action</w:t>
      </w:r>
    </w:p>
    <w:p>
      <w:pPr>
        <w:pStyle w:val="BodyTextnotice-text"/>
        <w:bidi w:val="0"/>
        <w:rPr/>
      </w:pPr>
      <w:r>
        <w:rPr/>
        <w:t xml:space="preserve">This notice is issued pursuant to the Internal Revenue Code following a review of the above-named taxpayer's filing history and reported activity. </w:t>
      </w:r>
    </w:p>
    <w:p>
      <w:pPr>
        <w:pStyle w:val="BodyTextnotice-text"/>
        <w:bidi w:val="0"/>
        <w:rPr/>
      </w:pPr>
      <w:r>
        <w:rPr/>
        <w:t xml:space="preserve">The Department has identified discrepancies between reported income and information returns on file. The discrepancies described in Section 4 of this notice form the basis for the proposed adjustment. </w:t>
      </w:r>
    </w:p>
    <w:p>
      <w:pPr>
        <w:pStyle w:val="Heading2"/>
        <w:bidi w:val="0"/>
        <w:jc w:val="start"/>
        <w:rPr/>
      </w:pPr>
      <w:r>
        <w:rPr/>
        <w:t>4. Findings and Adjustment Summary</w:t>
      </w:r>
    </w:p>
    <w:tbl>
      <w:tblPr>
        <w:tblW w:w="7922" w:type="dxa"/>
        <w:jc w:val="start"/>
        <w:tblInd w:w="0" w:type="dxa"/>
        <w:tblLayout w:type="fixed"/>
        <w:tblCellMar>
          <w:top w:w="28" w:type="dxa"/>
          <w:start w:w="28" w:type="dxa"/>
          <w:bottom w:w="28" w:type="dxa"/>
          <w:end w:w="28" w:type="dxa"/>
        </w:tblCellMar>
      </w:tblPr>
      <w:tblGrid>
        <w:gridCol w:w="4696"/>
        <w:gridCol w:w="3226"/>
      </w:tblGrid>
      <w:tr>
        <w:trPr/>
        <w:tc>
          <w:tcPr>
            <w:tcW w:w="4696" w:type="dxa"/>
            <w:tcBorders/>
            <w:vAlign w:val="center"/>
          </w:tcPr>
          <w:p>
            <w:pPr>
              <w:pStyle w:val="TableHeading"/>
              <w:bidi w:val="0"/>
              <w:spacing w:before="0" w:after="283"/>
              <w:ind w:hanging="0" w:start="0" w:end="0"/>
              <w:jc w:val="start"/>
              <w:rPr/>
            </w:pPr>
            <w:r>
              <w:rPr/>
              <w:t>Item</w:t>
            </w:r>
          </w:p>
        </w:tc>
        <w:tc>
          <w:tcPr>
            <w:tcW w:w="3226" w:type="dxa"/>
            <w:tcBorders/>
            <w:vAlign w:val="center"/>
          </w:tcPr>
          <w:p>
            <w:pPr>
              <w:pStyle w:val="TableHeading"/>
              <w:suppressLineNumbers/>
              <w:shd w:fill="F2F2F2" w:val="clear"/>
              <w:bidi w:val="0"/>
              <w:spacing w:before="0" w:after="283"/>
              <w:jc w:val="start"/>
              <w:rPr/>
            </w:pPr>
            <w:r>
              <w:rPr/>
              <w:t>Amount / Detail</w:t>
            </w:r>
          </w:p>
        </w:tc>
      </w:tr>
      <w:tr>
        <w:trPr/>
        <w:tc>
          <w:tcPr>
            <w:tcW w:w="4696" w:type="dxa"/>
            <w:tcBorders/>
            <w:vAlign w:val="center"/>
          </w:tcPr>
          <w:p>
            <w:pPr>
              <w:pStyle w:val="TableContents"/>
              <w:bidi w:val="0"/>
              <w:spacing w:before="0" w:after="283"/>
              <w:jc w:val="start"/>
              <w:rPr/>
            </w:pPr>
            <w:r>
              <w:rPr/>
              <w:t>Tax Year(s) Under Review</w:t>
            </w:r>
          </w:p>
        </w:tc>
        <w:tc>
          <w:tcPr>
            <w:tcW w:w="3226" w:type="dxa"/>
            <w:tcBorders/>
            <w:vAlign w:val="center"/>
          </w:tcPr>
          <w:p>
            <w:pPr>
              <w:pStyle w:val="TableContents"/>
              <w:bidi w:val="0"/>
              <w:spacing w:before="0" w:after="283"/>
              <w:ind w:hanging="0" w:start="0" w:end="0"/>
              <w:jc w:val="start"/>
              <w:rPr>
                <w:sz w:val="4"/>
                <w:szCs w:val="4"/>
              </w:rPr>
            </w:pPr>
            <w:r>
              <w:rPr>
                <w:sz w:val="4"/>
                <w:szCs w:val="4"/>
              </w:rPr>
            </w:r>
          </w:p>
        </w:tc>
      </w:tr>
      <w:tr>
        <w:trPr/>
        <w:tc>
          <w:tcPr>
            <w:tcW w:w="4696" w:type="dxa"/>
            <w:tcBorders/>
            <w:vAlign w:val="center"/>
          </w:tcPr>
          <w:p>
            <w:pPr>
              <w:pStyle w:val="TableContents"/>
              <w:bidi w:val="0"/>
              <w:spacing w:before="0" w:after="283"/>
              <w:jc w:val="start"/>
              <w:rPr/>
            </w:pPr>
            <w:r>
              <w:rPr/>
              <w:t>Reported Income on Return</w:t>
            </w:r>
          </w:p>
        </w:tc>
        <w:tc>
          <w:tcPr>
            <w:tcW w:w="3226" w:type="dxa"/>
            <w:tcBorders/>
            <w:vAlign w:val="center"/>
          </w:tcPr>
          <w:p>
            <w:pPr>
              <w:pStyle w:val="TableContents"/>
              <w:bidi w:val="0"/>
              <w:spacing w:before="0" w:after="283"/>
              <w:ind w:hanging="0" w:start="0" w:end="0"/>
              <w:jc w:val="start"/>
              <w:rPr/>
            </w:pPr>
            <w:r>
              <w:rPr/>
              <w:t xml:space="preserve">$ </w:t>
            </w:r>
          </w:p>
        </w:tc>
      </w:tr>
      <w:tr>
        <w:trPr/>
        <w:tc>
          <w:tcPr>
            <w:tcW w:w="4696" w:type="dxa"/>
            <w:tcBorders/>
            <w:vAlign w:val="center"/>
          </w:tcPr>
          <w:p>
            <w:pPr>
              <w:pStyle w:val="TableContents"/>
              <w:bidi w:val="0"/>
              <w:spacing w:before="0" w:after="283"/>
              <w:jc w:val="start"/>
              <w:rPr/>
            </w:pPr>
            <w:r>
              <w:rPr/>
              <w:t>Income Per Information Returns</w:t>
            </w:r>
          </w:p>
        </w:tc>
        <w:tc>
          <w:tcPr>
            <w:tcW w:w="3226" w:type="dxa"/>
            <w:tcBorders/>
            <w:vAlign w:val="center"/>
          </w:tcPr>
          <w:p>
            <w:pPr>
              <w:pStyle w:val="TableContents"/>
              <w:bidi w:val="0"/>
              <w:spacing w:before="0" w:after="283"/>
              <w:ind w:hanging="0" w:start="0" w:end="0"/>
              <w:jc w:val="start"/>
              <w:rPr/>
            </w:pPr>
            <w:r>
              <w:rPr/>
              <w:t xml:space="preserve">$ </w:t>
            </w:r>
          </w:p>
        </w:tc>
      </w:tr>
      <w:tr>
        <w:trPr/>
        <w:tc>
          <w:tcPr>
            <w:tcW w:w="4696" w:type="dxa"/>
            <w:tcBorders/>
            <w:vAlign w:val="center"/>
          </w:tcPr>
          <w:p>
            <w:pPr>
              <w:pStyle w:val="TableContents"/>
              <w:bidi w:val="0"/>
              <w:spacing w:before="0" w:after="283"/>
              <w:jc w:val="start"/>
              <w:rPr/>
            </w:pPr>
            <w:r>
              <w:rPr/>
              <w:t>Unreported Income Identified</w:t>
            </w:r>
          </w:p>
        </w:tc>
        <w:tc>
          <w:tcPr>
            <w:tcW w:w="3226" w:type="dxa"/>
            <w:tcBorders/>
            <w:vAlign w:val="center"/>
          </w:tcPr>
          <w:p>
            <w:pPr>
              <w:pStyle w:val="TableContents"/>
              <w:bidi w:val="0"/>
              <w:spacing w:before="0" w:after="283"/>
              <w:ind w:hanging="0" w:start="0" w:end="0"/>
              <w:jc w:val="start"/>
              <w:rPr/>
            </w:pPr>
            <w:r>
              <w:rPr/>
              <w:t xml:space="preserve">$ </w:t>
            </w:r>
          </w:p>
        </w:tc>
      </w:tr>
      <w:tr>
        <w:trPr/>
        <w:tc>
          <w:tcPr>
            <w:tcW w:w="4696" w:type="dxa"/>
            <w:tcBorders/>
            <w:vAlign w:val="center"/>
          </w:tcPr>
          <w:p>
            <w:pPr>
              <w:pStyle w:val="TableContents"/>
              <w:bidi w:val="0"/>
              <w:spacing w:before="0" w:after="283"/>
              <w:jc w:val="start"/>
              <w:rPr/>
            </w:pPr>
            <w:r>
              <w:rPr/>
              <w:t>Additional Tax Proposed</w:t>
            </w:r>
          </w:p>
        </w:tc>
        <w:tc>
          <w:tcPr>
            <w:tcW w:w="3226" w:type="dxa"/>
            <w:tcBorders/>
            <w:vAlign w:val="center"/>
          </w:tcPr>
          <w:p>
            <w:pPr>
              <w:pStyle w:val="TableContents"/>
              <w:bidi w:val="0"/>
              <w:spacing w:before="0" w:after="283"/>
              <w:ind w:hanging="0" w:start="0" w:end="0"/>
              <w:jc w:val="start"/>
              <w:rPr/>
            </w:pPr>
            <w:r>
              <w:rPr/>
              <w:t xml:space="preserve">$ </w:t>
            </w:r>
          </w:p>
        </w:tc>
      </w:tr>
      <w:tr>
        <w:trPr/>
        <w:tc>
          <w:tcPr>
            <w:tcW w:w="4696" w:type="dxa"/>
            <w:tcBorders/>
            <w:vAlign w:val="center"/>
          </w:tcPr>
          <w:p>
            <w:pPr>
              <w:pStyle w:val="TableContents"/>
              <w:bidi w:val="0"/>
              <w:spacing w:before="0" w:after="283"/>
              <w:jc w:val="start"/>
              <w:rPr/>
            </w:pPr>
            <w:r>
              <w:rPr/>
              <w:t>Interest Accrued to Date</w:t>
            </w:r>
          </w:p>
        </w:tc>
        <w:tc>
          <w:tcPr>
            <w:tcW w:w="3226" w:type="dxa"/>
            <w:tcBorders/>
            <w:vAlign w:val="center"/>
          </w:tcPr>
          <w:p>
            <w:pPr>
              <w:pStyle w:val="TableContents"/>
              <w:bidi w:val="0"/>
              <w:spacing w:before="0" w:after="283"/>
              <w:ind w:hanging="0" w:start="0" w:end="0"/>
              <w:jc w:val="start"/>
              <w:rPr/>
            </w:pPr>
            <w:r>
              <w:rPr/>
              <w:t xml:space="preserve">$ </w:t>
            </w:r>
          </w:p>
        </w:tc>
      </w:tr>
      <w:tr>
        <w:trPr/>
        <w:tc>
          <w:tcPr>
            <w:tcW w:w="4696" w:type="dxa"/>
            <w:tcBorders/>
            <w:vAlign w:val="center"/>
          </w:tcPr>
          <w:p>
            <w:pPr>
              <w:pStyle w:val="TableContents"/>
              <w:bidi w:val="0"/>
              <w:spacing w:before="0" w:after="283"/>
              <w:jc w:val="start"/>
              <w:rPr/>
            </w:pPr>
            <w:r>
              <w:rPr/>
              <w:t>Accuracy-Related Penalty (20%)</w:t>
            </w:r>
          </w:p>
        </w:tc>
        <w:tc>
          <w:tcPr>
            <w:tcW w:w="3226" w:type="dxa"/>
            <w:tcBorders/>
            <w:vAlign w:val="center"/>
          </w:tcPr>
          <w:p>
            <w:pPr>
              <w:pStyle w:val="TableContents"/>
              <w:bidi w:val="0"/>
              <w:spacing w:before="0" w:after="283"/>
              <w:ind w:hanging="0" w:start="0" w:end="0"/>
              <w:jc w:val="start"/>
              <w:rPr/>
            </w:pPr>
            <w:r>
              <w:rPr/>
              <w:t xml:space="preserve">$ </w:t>
            </w:r>
          </w:p>
        </w:tc>
      </w:tr>
      <w:tr>
        <w:trPr/>
        <w:tc>
          <w:tcPr>
            <w:tcW w:w="4696" w:type="dxa"/>
            <w:tcBorders/>
            <w:vAlign w:val="center"/>
          </w:tcPr>
          <w:p>
            <w:pPr>
              <w:pStyle w:val="TableContents"/>
              <w:bidi w:val="0"/>
              <w:spacing w:before="0" w:after="283"/>
              <w:jc w:val="start"/>
              <w:rPr/>
            </w:pPr>
            <w:r>
              <w:rPr>
                <w:rStyle w:val="Strong"/>
              </w:rPr>
              <w:t>Total Proposed Assessment</w:t>
            </w:r>
          </w:p>
        </w:tc>
        <w:tc>
          <w:tcPr>
            <w:tcW w:w="3226" w:type="dxa"/>
            <w:tcBorders/>
            <w:vAlign w:val="center"/>
          </w:tcPr>
          <w:p>
            <w:pPr>
              <w:pStyle w:val="TableContents"/>
              <w:bidi w:val="0"/>
              <w:spacing w:before="0" w:after="283"/>
              <w:ind w:hanging="0" w:start="0" w:end="0"/>
              <w:jc w:val="start"/>
              <w:rPr/>
            </w:pPr>
            <w:r>
              <w:rPr>
                <w:rStyle w:val="Strong"/>
              </w:rPr>
              <w:t xml:space="preserve">$ </w:t>
            </w:r>
          </w:p>
        </w:tc>
      </w:tr>
    </w:tbl>
    <w:p>
      <w:pPr>
        <w:pStyle w:val="Heading2"/>
        <w:bidi w:val="0"/>
        <w:jc w:val="start"/>
        <w:rPr/>
      </w:pPr>
      <w:r>
        <w:rPr/>
        <w:t>5. Response Procedures</w:t>
      </w:r>
    </w:p>
    <w:p>
      <w:pPr>
        <w:pStyle w:val="BodyTextnotice-text"/>
        <w:bidi w:val="0"/>
        <w:rPr/>
      </w:pPr>
      <w:r>
        <w:rPr/>
        <w:t xml:space="preserve">The recipient may respond to this notice within 30 days of the date shown in Section 2 by writing to the address in Section 8 or by calling the number in Section 8. </w:t>
      </w:r>
    </w:p>
    <w:p>
      <w:pPr>
        <w:pStyle w:val="BodyTextnotice-text"/>
        <w:bidi w:val="0"/>
        <w:rPr/>
      </w:pPr>
      <w:r>
        <w:rPr/>
        <w:t xml:space="preserve">Responses should include the case number, taxpayer identification number, and a statement of any dispute. Supporting documentation may be enclosed. </w:t>
      </w:r>
    </w:p>
    <w:p>
      <w:pPr>
        <w:pStyle w:val="BodyTextnotice-text"/>
        <w:bidi w:val="0"/>
        <w:rPr/>
      </w:pPr>
      <w:r>
        <w:rPr/>
        <w:t xml:space="preserve">Failure to respond within the stated period will be treated as agreement with the assessment as proposed. </w:t>
      </w:r>
    </w:p>
    <w:p>
      <w:pPr>
        <w:pStyle w:val="Heading2"/>
        <w:bidi w:val="0"/>
        <w:jc w:val="start"/>
        <w:rPr/>
      </w:pPr>
      <w:r>
        <w:rPr/>
        <w:t>6. Collection Information</w:t>
      </w:r>
    </w:p>
    <w:p>
      <w:pPr>
        <w:pStyle w:val="BodyTextnotice-text"/>
        <w:bidi w:val="0"/>
        <w:rPr/>
      </w:pPr>
      <w:r>
        <w:rPr/>
        <w:t xml:space="preserve">If the amount shown in Section 4 is not paid or the recipient does not dispute the assessment, the Department may refer the matter for collection. Collection methods may include offset of federal refund, levy of property, or referral to a private collection agency. </w:t>
      </w:r>
    </w:p>
    <w:p>
      <w:pPr>
        <w:pStyle w:val="Heading2"/>
        <w:bidi w:val="0"/>
        <w:jc w:val="start"/>
        <w:rPr/>
      </w:pPr>
      <w:r>
        <w:rPr/>
        <w:t>7. Appeals and Review</w:t>
      </w:r>
    </w:p>
    <w:p>
      <w:pPr>
        <w:pStyle w:val="BodyTextnotice-text"/>
        <w:bidi w:val="0"/>
        <w:rPr/>
      </w:pPr>
      <w:r>
        <w:rPr/>
        <w:t xml:space="preserve">The recipient may request review of this action by the Office of Appeals within 30 days of the date in Section 2. A written request must state the grounds for review. </w:t>
      </w:r>
    </w:p>
    <w:p>
      <w:pPr>
        <w:pStyle w:val="Heading2"/>
        <w:bidi w:val="0"/>
        <w:jc w:val="start"/>
        <w:rPr/>
      </w:pPr>
      <w:r>
        <w:rPr/>
        <w:t>8. Contact Information</w:t>
      </w:r>
    </w:p>
    <w:p>
      <w:pPr>
        <w:pStyle w:val="BodyText"/>
        <w:bidi w:val="0"/>
        <w:jc w:val="start"/>
        <w:rPr/>
      </w:pPr>
      <w:r>
        <w:rPr/>
        <w:t>Office of Compliance</w:t>
        <w:br/>
        <w:t>Department of the Treasury</w:t>
        <w:br/>
        <w:t>1111 Constitution Avenue NW</w:t>
        <w:br/>
        <w:t xml:space="preserve">Washington, DC 20220 </w:t>
      </w:r>
    </w:p>
    <w:p>
      <w:pPr>
        <w:pStyle w:val="BodyText"/>
        <w:bidi w:val="0"/>
        <w:jc w:val="start"/>
        <w:rPr/>
      </w:pPr>
      <w:r>
        <w:rPr>
          <w:rStyle w:val="Strong"/>
        </w:rPr>
        <w:t>Telephone:</w:t>
      </w:r>
      <w:r>
        <w:rPr/>
        <w:t xml:space="preserve"> (202) 555-0100 </w:t>
      </w:r>
    </w:p>
    <w:p>
      <w:pPr>
        <w:pStyle w:val="Heading2"/>
        <w:bidi w:val="0"/>
        <w:jc w:val="start"/>
        <w:rPr/>
      </w:pPr>
      <w:r>
        <w:rPr/>
        <w:t>9. Authorization</w:t>
      </w:r>
    </w:p>
    <w:p>
      <w:pPr>
        <w:pStyle w:val="BodyTextnotice-text"/>
        <w:bidi w:val="0"/>
        <w:rPr/>
      </w:pPr>
      <w:r>
        <w:rPr/>
        <w:t xml:space="preserve">This notice template was prepared and approved for internal use by the Office of Compliance, Department of the Treasury. </w:t>
      </w:r>
    </w:p>
    <w:p>
      <w:pPr>
        <w:pStyle w:val="BodyText"/>
        <w:bidi w:val="0"/>
        <w:spacing w:before="30" w:after="120"/>
        <w:ind w:hanging="0" w:start="0" w:end="0"/>
        <w:jc w:val="start"/>
        <w:rPr/>
      </w:pPr>
      <w:r>
        <w:rPr>
          <w:sz w:val="20"/>
        </w:rPr>
        <w:t>Authorized Official: M. R. Calloway, Director of Notice Operations</w:t>
      </w:r>
      <w:r>
        <w:rPr/>
        <w:t xml:space="preserve"> </w:t>
      </w:r>
    </w:p>
    <w:p>
      <w:pPr>
        <w:pStyle w:val="BodyText"/>
        <w:bidi w:val="0"/>
        <w:spacing w:before="30" w:after="120"/>
        <w:ind w:hanging="0" w:start="0" w:end="0"/>
        <w:jc w:val="start"/>
        <w:rPr/>
      </w:pPr>
      <w:r>
        <w:rPr>
          <w:sz w:val="20"/>
        </w:rPr>
        <w:t>Date of Approval: March 14, 2026</w:t>
      </w:r>
      <w:r>
        <w:rPr/>
        <w:t xml:space="preserve"> </w:t>
      </w:r>
    </w:p>
    <w:p>
      <w:pPr>
        <w:pStyle w:val="BodyText"/>
        <w:bidi w:val="0"/>
        <w:spacing w:before="0" w:after="225"/>
        <w:ind w:hanging="0" w:start="0" w:end="0"/>
        <w:jc w:val="center"/>
        <w:rPr>
          <w:b/>
          <w:caps/>
          <w:sz w:val="28"/>
        </w:rPr>
      </w:pPr>
      <w:r>
        <w:rPr>
          <w:b/>
          <w:caps/>
          <w:sz w:val="28"/>
        </w:rPr>
        <w:t>Appendix A — Form Instructions (Internal)</w:t>
      </w:r>
    </w:p>
    <w:p>
      <w:pPr>
        <w:pStyle w:val="Heading3"/>
        <w:bidi w:val="0"/>
        <w:jc w:val="start"/>
        <w:rPr/>
      </w:pPr>
      <w:r>
        <w:rPr/>
        <w:t>Purpose of this form</w:t>
      </w:r>
    </w:p>
    <w:p>
      <w:pPr>
        <w:pStyle w:val="BodyText"/>
        <w:bidi w:val="0"/>
        <w:jc w:val="start"/>
        <w:rPr/>
      </w:pPr>
      <w:r>
        <w:rPr/>
        <w:t xml:space="preserve">Form 10500-A is used by revenue agents to transmit a proposed enforcement action to a taxpayer following a discrepancy review. It is a template only; each field must be completed from the case file before any external distribution. </w:t>
      </w:r>
    </w:p>
    <w:p>
      <w:pPr>
        <w:pStyle w:val="Heading3"/>
        <w:bidi w:val="0"/>
        <w:jc w:val="start"/>
        <w:rPr/>
      </w:pPr>
      <w:r>
        <w:rPr/>
        <w:t>Completing Section 1</w:t>
      </w:r>
    </w:p>
    <w:p>
      <w:pPr>
        <w:pStyle w:val="BodyText"/>
        <w:bidi w:val="0"/>
        <w:jc w:val="start"/>
        <w:rPr/>
      </w:pPr>
      <w:r>
        <w:rPr/>
        <w:t xml:space="preserve">Enter the recipient's legal name exactly as it appears on the most recent return on file. Do not use aliases or trade names. The taxpayer identification number must match the record in the central index. </w:t>
      </w:r>
    </w:p>
    <w:p>
      <w:pPr>
        <w:pStyle w:val="Heading3"/>
        <w:bidi w:val="0"/>
        <w:jc w:val="start"/>
        <w:rPr/>
      </w:pPr>
      <w:r>
        <w:rPr/>
        <w:t>Completing Section 2</w:t>
      </w:r>
    </w:p>
    <w:p>
      <w:pPr>
        <w:pStyle w:val="BodyText"/>
        <w:bidi w:val="0"/>
        <w:jc w:val="start"/>
        <w:rPr/>
      </w:pPr>
      <w:r>
        <w:rPr/>
        <w:t xml:space="preserve">The case number follows the format ENF-YYYY-NNNNN, where YYYY is the year of assessment and NNNNN is the sequential case identifier assigned by the servicing office. The assigned revenue agent is the officer who conducted the review, not the officer who mails the notice. </w:t>
      </w:r>
    </w:p>
    <w:p>
      <w:pPr>
        <w:pStyle w:val="Heading3"/>
        <w:bidi w:val="0"/>
        <w:jc w:val="start"/>
        <w:rPr/>
      </w:pPr>
      <w:r>
        <w:rPr/>
        <w:t>Completing Section 3</w:t>
      </w:r>
    </w:p>
    <w:p>
      <w:pPr>
        <w:pStyle w:val="BodyText"/>
        <w:bidi w:val="0"/>
        <w:jc w:val="start"/>
        <w:rPr/>
      </w:pPr>
      <w:r>
        <w:rPr/>
        <w:t xml:space="preserve">State the statutory basis for the action in one or two sentences. Do not include speculation or characterizations beyond the information returns on file. </w:t>
      </w:r>
    </w:p>
    <w:p>
      <w:pPr>
        <w:pStyle w:val="Heading3"/>
        <w:bidi w:val="0"/>
        <w:jc w:val="start"/>
        <w:rPr/>
      </w:pPr>
      <w:r>
        <w:rPr/>
        <w:t>Completing Section 4</w:t>
      </w:r>
    </w:p>
    <w:p>
      <w:pPr>
        <w:pStyle w:val="BodyText"/>
        <w:bidi w:val="0"/>
        <w:jc w:val="start"/>
        <w:rPr/>
      </w:pPr>
      <w:r>
        <w:rPr/>
        <w:t xml:space="preserve">All dollar amounts must be taken from the case worksheet. The accuracy-related penalty is computed at 20% of the underpayment attributable to negligence or disregard of rules. Interest is computed daily from the due date of the return to the date of assessment. </w:t>
      </w:r>
    </w:p>
    <w:p>
      <w:pPr>
        <w:pStyle w:val="Heading3"/>
        <w:bidi w:val="0"/>
        <w:jc w:val="start"/>
        <w:rPr/>
      </w:pPr>
      <w:r>
        <w:rPr/>
        <w:t>Completing Section 5</w:t>
      </w:r>
    </w:p>
    <w:p>
      <w:pPr>
        <w:pStyle w:val="BodyText"/>
        <w:bidi w:val="0"/>
        <w:jc w:val="start"/>
        <w:rPr/>
      </w:pPr>
      <w:r>
        <w:rPr/>
        <w:t xml:space="preserve">The response period is fixed at 30 days and may not be shortened. The language in this section is standard and must not be altered. </w:t>
      </w:r>
    </w:p>
    <w:p>
      <w:pPr>
        <w:pStyle w:val="Heading3"/>
        <w:bidi w:val="0"/>
        <w:jc w:val="start"/>
        <w:rPr/>
      </w:pPr>
      <w:r>
        <w:rPr/>
        <w:t>Completing Section 6</w:t>
      </w:r>
    </w:p>
    <w:p>
      <w:pPr>
        <w:pStyle w:val="BodyText"/>
        <w:bidi w:val="0"/>
        <w:jc w:val="start"/>
        <w:rPr/>
      </w:pPr>
      <w:r>
        <w:rPr/>
        <w:t xml:space="preserve">Collection information is standard. Do not add threats or characterizations. The standard referral language is sufficient. </w:t>
      </w:r>
    </w:p>
    <w:p>
      <w:pPr>
        <w:pStyle w:val="Heading3"/>
        <w:bidi w:val="0"/>
        <w:jc w:val="start"/>
        <w:rPr/>
      </w:pPr>
      <w:r>
        <w:rPr/>
        <w:t>Completing Section 7</w:t>
      </w:r>
    </w:p>
    <w:p>
      <w:pPr>
        <w:pStyle w:val="BodyText"/>
        <w:bidi w:val="0"/>
        <w:jc w:val="start"/>
        <w:rPr/>
      </w:pPr>
      <w:r>
        <w:rPr/>
        <w:t xml:space="preserve">Appeals language is standard and must not be altered. </w:t>
      </w:r>
    </w:p>
    <w:p>
      <w:pPr>
        <w:pStyle w:val="Heading3"/>
        <w:bidi w:val="0"/>
        <w:jc w:val="start"/>
        <w:rPr/>
      </w:pPr>
      <w:r>
        <w:rPr/>
        <w:t>Completing Section 8</w:t>
      </w:r>
    </w:p>
    <w:p>
      <w:pPr>
        <w:pStyle w:val="BodyText"/>
        <w:bidi w:val="0"/>
        <w:jc w:val="start"/>
        <w:rPr/>
      </w:pPr>
      <w:r>
        <w:rPr/>
        <w:t xml:space="preserve">The contact block is fixed. Do not substitute a personal office address or personal extension. </w:t>
      </w:r>
    </w:p>
    <w:p>
      <w:pPr>
        <w:pStyle w:val="Heading3"/>
        <w:bidi w:val="0"/>
        <w:jc w:val="start"/>
        <w:rPr/>
      </w:pPr>
      <w:r>
        <w:rPr/>
        <w:t>Completing Section 9</w:t>
      </w:r>
    </w:p>
    <w:p>
      <w:pPr>
        <w:pStyle w:val="BodyText"/>
        <w:bidi w:val="0"/>
        <w:jc w:val="start"/>
        <w:rPr/>
      </w:pPr>
      <w:r>
        <w:rPr/>
        <w:t xml:space="preserve">The authorization block must be signed by the Director of Notice Operations or a designated deputy. Unsigned templates may not be distributed. </w:t>
      </w:r>
    </w:p>
    <w:p>
      <w:pPr>
        <w:pStyle w:val="BodyText"/>
        <w:bidi w:val="0"/>
        <w:spacing w:before="0" w:after="225"/>
        <w:ind w:hanging="0" w:start="0" w:end="0"/>
        <w:jc w:val="center"/>
        <w:rPr>
          <w:b/>
          <w:caps/>
          <w:sz w:val="28"/>
        </w:rPr>
      </w:pPr>
      <w:r>
        <w:rPr>
          <w:b/>
          <w:caps/>
          <w:sz w:val="28"/>
        </w:rPr>
        <w:t>Appendix B — Mailing Checklist (Internal)</w:t>
      </w:r>
    </w:p>
    <w:p>
      <w:pPr>
        <w:pStyle w:val="BodyText"/>
        <w:bidi w:val="0"/>
        <w:jc w:val="start"/>
        <w:rPr/>
      </w:pPr>
      <w:r>
        <w:rPr/>
        <w:t>Before mailing a completed notice, the servicing agent must confirm:</w:t>
      </w:r>
    </w:p>
    <w:p>
      <w:pPr>
        <w:pStyle w:val="BodyText"/>
        <w:numPr>
          <w:ilvl w:val="0"/>
          <w:numId w:val="1"/>
        </w:numPr>
        <w:tabs>
          <w:tab w:val="clear" w:pos="1134"/>
          <w:tab w:val="left" w:pos="2149" w:leader="none"/>
        </w:tabs>
        <w:bidi w:val="0"/>
        <w:spacing w:before="0" w:after="0"/>
        <w:ind w:hanging="283" w:start="2149"/>
        <w:jc w:val="start"/>
        <w:rPr/>
      </w:pPr>
      <w:r>
        <w:rPr/>
        <w:t xml:space="preserve">Recipient name and TIN match the central index. </w:t>
      </w:r>
    </w:p>
    <w:p>
      <w:pPr>
        <w:pStyle w:val="BodyText"/>
        <w:numPr>
          <w:ilvl w:val="0"/>
          <w:numId w:val="1"/>
        </w:numPr>
        <w:tabs>
          <w:tab w:val="clear" w:pos="1134"/>
          <w:tab w:val="left" w:pos="2149" w:leader="none"/>
        </w:tabs>
        <w:bidi w:val="0"/>
        <w:spacing w:before="0" w:after="0"/>
        <w:ind w:hanging="283" w:start="2149"/>
        <w:jc w:val="start"/>
        <w:rPr/>
      </w:pPr>
      <w:r>
        <w:rPr/>
        <w:t xml:space="preserve">Case number is correctly formatted and assigned. </w:t>
      </w:r>
    </w:p>
    <w:p>
      <w:pPr>
        <w:pStyle w:val="BodyText"/>
        <w:numPr>
          <w:ilvl w:val="0"/>
          <w:numId w:val="1"/>
        </w:numPr>
        <w:tabs>
          <w:tab w:val="clear" w:pos="1134"/>
          <w:tab w:val="left" w:pos="2149" w:leader="none"/>
        </w:tabs>
        <w:bidi w:val="0"/>
        <w:spacing w:before="0" w:after="0"/>
        <w:ind w:hanging="283" w:start="2149"/>
        <w:jc w:val="start"/>
        <w:rPr/>
      </w:pPr>
      <w:r>
        <w:rPr/>
        <w:t xml:space="preserve">All Section 4 amounts match the case worksheet. </w:t>
      </w:r>
    </w:p>
    <w:p>
      <w:pPr>
        <w:pStyle w:val="BodyText"/>
        <w:numPr>
          <w:ilvl w:val="0"/>
          <w:numId w:val="1"/>
        </w:numPr>
        <w:tabs>
          <w:tab w:val="clear" w:pos="1134"/>
          <w:tab w:val="left" w:pos="2149" w:leader="none"/>
        </w:tabs>
        <w:bidi w:val="0"/>
        <w:spacing w:before="0" w:after="0"/>
        <w:ind w:hanging="283" w:start="2149"/>
        <w:jc w:val="start"/>
        <w:rPr/>
      </w:pPr>
      <w:r>
        <w:rPr/>
        <w:t xml:space="preserve">Response period is 30 days and has not been altered. </w:t>
      </w:r>
    </w:p>
    <w:p>
      <w:pPr>
        <w:pStyle w:val="BodyText"/>
        <w:numPr>
          <w:ilvl w:val="0"/>
          <w:numId w:val="1"/>
        </w:numPr>
        <w:tabs>
          <w:tab w:val="clear" w:pos="1134"/>
          <w:tab w:val="left" w:pos="2149" w:leader="none"/>
        </w:tabs>
        <w:bidi w:val="0"/>
        <w:spacing w:before="0" w:after="0"/>
        <w:ind w:hanging="283" w:start="2149"/>
        <w:jc w:val="start"/>
        <w:rPr/>
      </w:pPr>
      <w:r>
        <w:rPr/>
        <w:t xml:space="preserve">Contact block is the standard block. </w:t>
      </w:r>
    </w:p>
    <w:p>
      <w:pPr>
        <w:pStyle w:val="BodyText"/>
        <w:numPr>
          <w:ilvl w:val="0"/>
          <w:numId w:val="1"/>
        </w:numPr>
        <w:tabs>
          <w:tab w:val="clear" w:pos="1134"/>
          <w:tab w:val="left" w:pos="2149" w:leader="none"/>
        </w:tabs>
        <w:bidi w:val="0"/>
        <w:spacing w:before="0" w:after="0"/>
        <w:ind w:hanging="283" w:start="2149"/>
        <w:jc w:val="start"/>
        <w:rPr/>
      </w:pPr>
      <w:r>
        <w:rPr/>
        <w:t xml:space="preserve">Authorization signature is present. </w:t>
      </w:r>
    </w:p>
    <w:p>
      <w:pPr>
        <w:pStyle w:val="BodyText"/>
        <w:numPr>
          <w:ilvl w:val="0"/>
          <w:numId w:val="1"/>
        </w:numPr>
        <w:tabs>
          <w:tab w:val="clear" w:pos="1134"/>
          <w:tab w:val="left" w:pos="2149" w:leader="none"/>
        </w:tabs>
        <w:bidi w:val="0"/>
        <w:spacing w:before="0" w:after="0"/>
        <w:ind w:hanging="283" w:start="2149"/>
        <w:jc w:val="start"/>
        <w:rPr/>
      </w:pPr>
      <w:r>
        <w:rPr/>
        <w:t xml:space="preserve">A copy is placed in the case file. </w:t>
      </w:r>
    </w:p>
    <w:p>
      <w:pPr>
        <w:pStyle w:val="BodyText"/>
        <w:numPr>
          <w:ilvl w:val="0"/>
          <w:numId w:val="1"/>
        </w:numPr>
        <w:tabs>
          <w:tab w:val="clear" w:pos="1134"/>
          <w:tab w:val="left" w:pos="2149" w:leader="none"/>
        </w:tabs>
        <w:bidi w:val="0"/>
        <w:ind w:hanging="283" w:start="2149"/>
        <w:jc w:val="start"/>
        <w:rPr/>
      </w:pPr>
      <w:r>
        <w:rPr/>
        <w:t xml:space="preserve">The mailing log entry is completed. </w:t>
      </w:r>
    </w:p>
    <w:p>
      <w:pPr>
        <w:pStyle w:val="BodyText"/>
        <w:bidi w:val="0"/>
        <w:jc w:val="start"/>
        <w:rPr/>
      </w:pPr>
      <w:r>
        <w:rPr/>
        <w:t xml:space="preserve">If any item cannot be confirmed, the notice must not be mailed and the supervisor must be notified. </w:t>
      </w:r>
    </w:p>
    <w:p>
      <w:pPr>
        <w:pStyle w:val="BodyText"/>
        <w:bidi w:val="0"/>
        <w:spacing w:before="0" w:after="225"/>
        <w:ind w:hanging="0" w:start="0" w:end="0"/>
        <w:jc w:val="center"/>
        <w:rPr>
          <w:b/>
          <w:caps/>
          <w:sz w:val="28"/>
        </w:rPr>
      </w:pPr>
      <w:r>
        <w:rPr>
          <w:b/>
          <w:caps/>
          <w:sz w:val="28"/>
        </w:rPr>
        <w:t>Appendix C — Version History (Internal)</w:t>
      </w:r>
    </w:p>
    <w:tbl>
      <w:tblPr>
        <w:tblW w:w="11339" w:type="dxa"/>
        <w:jc w:val="start"/>
        <w:tblInd w:w="0" w:type="dxa"/>
        <w:tblLayout w:type="fixed"/>
        <w:tblCellMar>
          <w:top w:w="28" w:type="dxa"/>
          <w:start w:w="28" w:type="dxa"/>
          <w:bottom w:w="28" w:type="dxa"/>
          <w:end w:w="28" w:type="dxa"/>
        </w:tblCellMar>
      </w:tblPr>
      <w:tblGrid>
        <w:gridCol w:w="2356"/>
        <w:gridCol w:w="2655"/>
        <w:gridCol w:w="6328"/>
      </w:tblGrid>
      <w:tr>
        <w:trPr/>
        <w:tc>
          <w:tcPr>
            <w:tcW w:w="2356" w:type="dxa"/>
            <w:tcBorders/>
            <w:vAlign w:val="center"/>
          </w:tcPr>
          <w:p>
            <w:pPr>
              <w:pStyle w:val="TableHeading"/>
              <w:suppressLineNumbers/>
              <w:shd w:fill="F2F2F2" w:val="clear"/>
              <w:bidi w:val="0"/>
              <w:spacing w:before="0" w:after="283"/>
              <w:jc w:val="start"/>
              <w:rPr/>
            </w:pPr>
            <w:r>
              <w:rPr/>
              <w:t>Version</w:t>
            </w:r>
          </w:p>
        </w:tc>
        <w:tc>
          <w:tcPr>
            <w:tcW w:w="2655" w:type="dxa"/>
            <w:tcBorders/>
            <w:vAlign w:val="center"/>
          </w:tcPr>
          <w:p>
            <w:pPr>
              <w:pStyle w:val="TableHeading"/>
              <w:suppressLineNumbers/>
              <w:shd w:fill="F2F2F2" w:val="clear"/>
              <w:bidi w:val="0"/>
              <w:spacing w:before="0" w:after="283"/>
              <w:jc w:val="start"/>
              <w:rPr/>
            </w:pPr>
            <w:r>
              <w:rPr/>
              <w:t>Date</w:t>
            </w:r>
          </w:p>
        </w:tc>
        <w:tc>
          <w:tcPr>
            <w:tcW w:w="6328" w:type="dxa"/>
            <w:tcBorders/>
            <w:vAlign w:val="center"/>
          </w:tcPr>
          <w:p>
            <w:pPr>
              <w:pStyle w:val="TableHeading"/>
              <w:suppressLineNumbers/>
              <w:shd w:fill="F2F2F2" w:val="clear"/>
              <w:bidi w:val="0"/>
              <w:spacing w:before="0" w:after="283"/>
              <w:jc w:val="start"/>
              <w:rPr/>
            </w:pPr>
            <w:r>
              <w:rPr/>
              <w:t>Description</w:t>
            </w:r>
          </w:p>
        </w:tc>
      </w:tr>
      <w:tr>
        <w:trPr/>
        <w:tc>
          <w:tcPr>
            <w:tcW w:w="2356" w:type="dxa"/>
            <w:tcBorders/>
            <w:vAlign w:val="center"/>
          </w:tcPr>
          <w:p>
            <w:pPr>
              <w:pStyle w:val="TableContents"/>
              <w:bidi w:val="0"/>
              <w:spacing w:before="0" w:after="283"/>
              <w:jc w:val="start"/>
              <w:rPr/>
            </w:pPr>
            <w:r>
              <w:rPr/>
              <w:t>1.0</w:t>
            </w:r>
          </w:p>
        </w:tc>
        <w:tc>
          <w:tcPr>
            <w:tcW w:w="2655" w:type="dxa"/>
            <w:tcBorders/>
            <w:vAlign w:val="center"/>
          </w:tcPr>
          <w:p>
            <w:pPr>
              <w:pStyle w:val="TableContents"/>
              <w:bidi w:val="0"/>
              <w:spacing w:before="0" w:after="283"/>
              <w:jc w:val="start"/>
              <w:rPr/>
            </w:pPr>
            <w:r>
              <w:rPr/>
              <w:t>January 2024</w:t>
            </w:r>
          </w:p>
        </w:tc>
        <w:tc>
          <w:tcPr>
            <w:tcW w:w="6328" w:type="dxa"/>
            <w:tcBorders/>
            <w:vAlign w:val="center"/>
          </w:tcPr>
          <w:p>
            <w:pPr>
              <w:pStyle w:val="TableContents"/>
              <w:bidi w:val="0"/>
              <w:spacing w:before="0" w:after="283"/>
              <w:jc w:val="start"/>
              <w:rPr/>
            </w:pPr>
            <w:r>
              <w:rPr/>
              <w:t>Initial template issued by Office of Compliance.</w:t>
            </w:r>
          </w:p>
        </w:tc>
      </w:tr>
      <w:tr>
        <w:trPr/>
        <w:tc>
          <w:tcPr>
            <w:tcW w:w="2356" w:type="dxa"/>
            <w:tcBorders/>
            <w:vAlign w:val="center"/>
          </w:tcPr>
          <w:p>
            <w:pPr>
              <w:pStyle w:val="TableContents"/>
              <w:bidi w:val="0"/>
              <w:spacing w:before="0" w:after="283"/>
              <w:jc w:val="start"/>
              <w:rPr/>
            </w:pPr>
            <w:r>
              <w:rPr/>
              <w:t>1.1</w:t>
            </w:r>
          </w:p>
        </w:tc>
        <w:tc>
          <w:tcPr>
            <w:tcW w:w="2655" w:type="dxa"/>
            <w:tcBorders/>
            <w:vAlign w:val="center"/>
          </w:tcPr>
          <w:p>
            <w:pPr>
              <w:pStyle w:val="TableContents"/>
              <w:bidi w:val="0"/>
              <w:spacing w:before="0" w:after="283"/>
              <w:jc w:val="start"/>
              <w:rPr/>
            </w:pPr>
            <w:r>
              <w:rPr/>
              <w:t>June 2024</w:t>
            </w:r>
          </w:p>
        </w:tc>
        <w:tc>
          <w:tcPr>
            <w:tcW w:w="6328" w:type="dxa"/>
            <w:tcBorders/>
            <w:vAlign w:val="center"/>
          </w:tcPr>
          <w:p>
            <w:pPr>
              <w:pStyle w:val="TableContents"/>
              <w:bidi w:val="0"/>
              <w:spacing w:before="0" w:after="283"/>
              <w:jc w:val="start"/>
              <w:rPr/>
            </w:pPr>
            <w:r>
              <w:rPr/>
              <w:t>Updated Section 4 penalty computation language.</w:t>
            </w:r>
          </w:p>
        </w:tc>
      </w:tr>
      <w:tr>
        <w:trPr/>
        <w:tc>
          <w:tcPr>
            <w:tcW w:w="2356" w:type="dxa"/>
            <w:tcBorders/>
            <w:vAlign w:val="center"/>
          </w:tcPr>
          <w:p>
            <w:pPr>
              <w:pStyle w:val="TableContents"/>
              <w:bidi w:val="0"/>
              <w:spacing w:before="0" w:after="283"/>
              <w:jc w:val="start"/>
              <w:rPr/>
            </w:pPr>
            <w:r>
              <w:rPr/>
              <w:t>1.2</w:t>
            </w:r>
          </w:p>
        </w:tc>
        <w:tc>
          <w:tcPr>
            <w:tcW w:w="2655" w:type="dxa"/>
            <w:tcBorders/>
            <w:vAlign w:val="center"/>
          </w:tcPr>
          <w:p>
            <w:pPr>
              <w:pStyle w:val="TableContents"/>
              <w:bidi w:val="0"/>
              <w:spacing w:before="0" w:after="283"/>
              <w:jc w:val="start"/>
              <w:rPr/>
            </w:pPr>
            <w:r>
              <w:rPr/>
              <w:t>February 2025</w:t>
            </w:r>
          </w:p>
        </w:tc>
        <w:tc>
          <w:tcPr>
            <w:tcW w:w="6328" w:type="dxa"/>
            <w:tcBorders/>
            <w:vAlign w:val="center"/>
          </w:tcPr>
          <w:p>
            <w:pPr>
              <w:pStyle w:val="TableContents"/>
              <w:bidi w:val="0"/>
              <w:spacing w:before="0" w:after="283"/>
              <w:jc w:val="start"/>
              <w:rPr/>
            </w:pPr>
            <w:r>
              <w:rPr/>
              <w:t>Updated contact block address.</w:t>
            </w:r>
          </w:p>
        </w:tc>
      </w:tr>
      <w:tr>
        <w:trPr/>
        <w:tc>
          <w:tcPr>
            <w:tcW w:w="2356" w:type="dxa"/>
            <w:tcBorders/>
            <w:vAlign w:val="center"/>
          </w:tcPr>
          <w:p>
            <w:pPr>
              <w:pStyle w:val="TableContents"/>
              <w:bidi w:val="0"/>
              <w:spacing w:before="0" w:after="283"/>
              <w:jc w:val="start"/>
              <w:rPr/>
            </w:pPr>
            <w:r>
              <w:rPr/>
              <w:t>1.3</w:t>
            </w:r>
          </w:p>
        </w:tc>
        <w:tc>
          <w:tcPr>
            <w:tcW w:w="2655" w:type="dxa"/>
            <w:tcBorders/>
            <w:vAlign w:val="center"/>
          </w:tcPr>
          <w:p>
            <w:pPr>
              <w:pStyle w:val="TableContents"/>
              <w:bidi w:val="0"/>
              <w:spacing w:before="0" w:after="283"/>
              <w:jc w:val="start"/>
              <w:rPr/>
            </w:pPr>
            <w:r>
              <w:rPr/>
              <w:t>March 2026</w:t>
            </w:r>
          </w:p>
        </w:tc>
        <w:tc>
          <w:tcPr>
            <w:tcW w:w="6328" w:type="dxa"/>
            <w:tcBorders/>
            <w:vAlign w:val="center"/>
          </w:tcPr>
          <w:p>
            <w:pPr>
              <w:pStyle w:val="TableContents"/>
              <w:bidi w:val="0"/>
              <w:spacing w:before="0" w:after="283"/>
              <w:jc w:val="start"/>
              <w:rPr/>
            </w:pPr>
            <w:r>
              <w:rPr/>
              <w:t>Revised response-period language in Section 5; added mailing checklist to Appendix B.</w:t>
            </w:r>
          </w:p>
        </w:tc>
      </w:tr>
    </w:tbl>
    <w:p>
      <w:pPr>
        <w:pStyle w:val="BodyText"/>
        <w:bidi w:val="0"/>
        <w:spacing w:before="0" w:after="225"/>
        <w:ind w:hanging="0" w:start="0" w:end="0"/>
        <w:jc w:val="center"/>
        <w:rPr>
          <w:b/>
          <w:caps/>
          <w:sz w:val="28"/>
        </w:rPr>
      </w:pPr>
      <w:r>
        <w:rPr>
          <w:b/>
          <w:caps/>
          <w:sz w:val="28"/>
        </w:rPr>
        <w:t>Appendix D — Licensing and Distribution Notice</w:t>
      </w:r>
    </w:p>
    <w:p>
      <w:pPr>
        <w:pStyle w:val="BodyText"/>
        <w:bidi w:val="0"/>
        <w:spacing w:before="0" w:after="283"/>
        <w:jc w:val="start"/>
        <w:rPr/>
      </w:pPr>
      <w:r>
        <w:rPr/>
        <w:t xml:space="preserve">© 2026 United States Department of the Treasury, Office of Compliance. Internal use only. This document is a controlled template of the United States Department of the Treasury. Reproduction, duplication, or distribution of this template — in whole or in part, in any medium, and whether altered or unaltered — outside the Department is prohibited. No license is granted for external use, adaptation, or derivative works. This notice is part of the document and must remain with any internal copy.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keepNext w:val="true"/>
      <w:pBdr>
        <w:bottom w:val="single" w:sz="2" w:space="1" w:color="000000"/>
      </w:pBdr>
      <w:spacing w:before="300" w:after="150"/>
      <w:outlineLvl w:val="1"/>
    </w:pPr>
    <w:rPr>
      <w:rFonts w:ascii="Liberation Serif" w:hAnsi="Liberation Serif" w:eastAsia="Noto Serif CJK SC" w:cs="Noto Sans Devanagari"/>
      <w:b/>
      <w:bCs/>
      <w:caps/>
      <w:sz w:val="24"/>
      <w:szCs w:val="24"/>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notice-text">
    <w:name w:val="Body Text.notice-text"/>
    <w:basedOn w:val="BodyText"/>
    <w:qFormat/>
    <w:pPr>
      <w:jc w:val="both"/>
    </w:pPr>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IRS Enforcement Notice Template Internal</dc:title>
</cp:coreProperties>
</file>

<file path=docProps/custom.xml><?xml version="1.0" encoding="utf-8"?>
<Properties xmlns="http://schemas.openxmlformats.org/officeDocument/2006/custom-properties" xmlns:vt="http://schemas.openxmlformats.org/officeDocument/2006/docPropsVTypes"/>
</file>