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ACME CORP</w:t>
      </w:r>
    </w:p>
    <w:p>
      <w:pPr>
        <w:pStyle w:val="Heading2"/>
        <w:bidi w:val="0"/>
        <w:rPr/>
      </w:pPr>
      <w:r>
        <w:rPr/>
        <w:t>Final Settlement Notice</w:t>
      </w:r>
    </w:p>
    <w:tbl>
      <w:tblPr>
        <w:tblW w:w="6692" w:type="dxa"/>
        <w:jc w:val="start"/>
        <w:tblInd w:w="0" w:type="dxa"/>
        <w:tblLayout w:type="fixed"/>
        <w:tblCellMar>
          <w:top w:w="28" w:type="dxa"/>
          <w:start w:w="28" w:type="dxa"/>
          <w:bottom w:w="28" w:type="dxa"/>
          <w:end w:w="28" w:type="dxa"/>
        </w:tblCellMar>
      </w:tblPr>
      <w:tblGrid>
        <w:gridCol w:w="2641"/>
        <w:gridCol w:w="4051"/>
      </w:tblGrid>
      <w:tr>
        <w:trPr/>
        <w:tc>
          <w:tcPr>
            <w:tcW w:w="2641" w:type="dxa"/>
            <w:tcBorders/>
            <w:shd w:fill="F5F5F5" w:val="clear"/>
            <w:vAlign w:val="center"/>
          </w:tcPr>
          <w:p>
            <w:pPr>
              <w:pStyle w:val="TableContents"/>
              <w:bidi w:val="0"/>
              <w:spacing w:before="0" w:after="200"/>
              <w:ind w:hanging="0" w:start="0" w:end="0"/>
              <w:rPr>
                <w:b/>
              </w:rPr>
            </w:pPr>
            <w:r>
              <w:rPr>
                <w:b/>
              </w:rPr>
              <w:t>Date</w:t>
            </w:r>
          </w:p>
        </w:tc>
        <w:tc>
          <w:tcPr>
            <w:tcW w:w="4051" w:type="dxa"/>
            <w:tcBorders/>
            <w:vAlign w:val="center"/>
          </w:tcPr>
          <w:p>
            <w:pPr>
              <w:pStyle w:val="TableContents"/>
              <w:bidi w:val="0"/>
              <w:spacing w:before="0" w:after="200"/>
              <w:ind w:hanging="0" w:start="0" w:end="0"/>
              <w:rPr>
                <w:u w:val="single"/>
              </w:rPr>
            </w:pPr>
            <w:r>
              <w:rPr>
                <w:u w:val="single"/>
              </w:rPr>
              <w:t>[Date]</w:t>
            </w:r>
          </w:p>
        </w:tc>
      </w:tr>
      <w:tr>
        <w:trPr/>
        <w:tc>
          <w:tcPr>
            <w:tcW w:w="2641" w:type="dxa"/>
            <w:tcBorders/>
            <w:shd w:fill="F5F5F5" w:val="clear"/>
            <w:vAlign w:val="center"/>
          </w:tcPr>
          <w:p>
            <w:pPr>
              <w:pStyle w:val="TableContents"/>
              <w:bidi w:val="0"/>
              <w:spacing w:before="0" w:after="200"/>
              <w:rPr>
                <w:b/>
              </w:rPr>
            </w:pPr>
            <w:r>
              <w:rPr>
                <w:b/>
              </w:rPr>
              <w:t>Reference</w:t>
            </w:r>
          </w:p>
        </w:tc>
        <w:tc>
          <w:tcPr>
            <w:tcW w:w="4051" w:type="dxa"/>
            <w:tcBorders/>
            <w:vAlign w:val="center"/>
          </w:tcPr>
          <w:p>
            <w:pPr>
              <w:pStyle w:val="TableContents"/>
              <w:bidi w:val="0"/>
              <w:spacing w:before="0" w:after="200"/>
              <w:ind w:hanging="0" w:start="0" w:end="0"/>
              <w:rPr>
                <w:u w:val="single"/>
              </w:rPr>
            </w:pPr>
            <w:r>
              <w:rPr>
                <w:u w:val="single"/>
              </w:rPr>
              <w:t>[Reference Number]</w:t>
            </w:r>
          </w:p>
        </w:tc>
      </w:tr>
      <w:tr>
        <w:trPr/>
        <w:tc>
          <w:tcPr>
            <w:tcW w:w="2641" w:type="dxa"/>
            <w:tcBorders/>
            <w:shd w:fill="F5F5F5" w:val="clear"/>
            <w:vAlign w:val="center"/>
          </w:tcPr>
          <w:p>
            <w:pPr>
              <w:pStyle w:val="TableContents"/>
              <w:bidi w:val="0"/>
              <w:spacing w:before="0" w:after="200"/>
              <w:rPr>
                <w:b/>
              </w:rPr>
            </w:pPr>
            <w:r>
              <w:rPr>
                <w:b/>
              </w:rPr>
              <w:t>Recipient</w:t>
            </w:r>
          </w:p>
        </w:tc>
        <w:tc>
          <w:tcPr>
            <w:tcW w:w="4051" w:type="dxa"/>
            <w:tcBorders/>
            <w:vAlign w:val="center"/>
          </w:tcPr>
          <w:p>
            <w:pPr>
              <w:pStyle w:val="TableContents"/>
              <w:bidi w:val="0"/>
              <w:spacing w:before="0" w:after="200"/>
              <w:ind w:hanging="0" w:start="0" w:end="0"/>
              <w:rPr/>
            </w:pPr>
            <w:r>
              <w:rPr/>
              <w:t>John Smith</w:t>
            </w:r>
          </w:p>
        </w:tc>
      </w:tr>
      <w:tr>
        <w:trPr/>
        <w:tc>
          <w:tcPr>
            <w:tcW w:w="2641" w:type="dxa"/>
            <w:tcBorders/>
            <w:shd w:fill="F5F5F5" w:val="clear"/>
            <w:vAlign w:val="center"/>
          </w:tcPr>
          <w:p>
            <w:pPr>
              <w:pStyle w:val="TableContents"/>
              <w:bidi w:val="0"/>
              <w:spacing w:before="0" w:after="200"/>
              <w:rPr>
                <w:b/>
              </w:rPr>
            </w:pPr>
            <w:r>
              <w:rPr>
                <w:b/>
              </w:rPr>
              <w:t>Subject</w:t>
            </w:r>
          </w:p>
        </w:tc>
        <w:tc>
          <w:tcPr>
            <w:tcW w:w="4051" w:type="dxa"/>
            <w:tcBorders/>
            <w:vAlign w:val="center"/>
          </w:tcPr>
          <w:p>
            <w:pPr>
              <w:pStyle w:val="TableContents"/>
              <w:bidi w:val="0"/>
              <w:spacing w:before="0" w:after="200"/>
              <w:rPr/>
            </w:pPr>
            <w:r>
              <w:rPr>
                <w:rStyle w:val="Strong"/>
              </w:rPr>
              <w:t>Final Settlement Notice</w:t>
            </w:r>
          </w:p>
        </w:tc>
      </w:tr>
    </w:tbl>
    <w:p>
      <w:pPr>
        <w:pStyle w:val="BodyTextsalutation"/>
        <w:bidi w:val="0"/>
        <w:rPr/>
      </w:pPr>
      <w:r>
        <w:rPr/>
        <w:t>Dear John Smith,</w:t>
      </w:r>
    </w:p>
    <w:p>
      <w:pPr>
        <w:pStyle w:val="BodyText"/>
        <w:bidi w:val="0"/>
        <w:rPr/>
      </w:pPr>
      <w:r>
        <w:rPr/>
        <w:t>Please confirm receipt of this notice by reply.</w:t>
      </w:r>
    </w:p>
    <w:p>
      <w:pPr>
        <w:pStyle w:val="BodyText"/>
        <w:bidi w:val="0"/>
        <w:rPr/>
      </w:pPr>
      <w:r>
        <w:rPr/>
        <w:t>This notice is issued by Acme Corp in connection with the final settlement of all outstanding balances, claims, and obligations between Acme Corp and John Smith arising from the parties’ prior business relationship. The purpose of this notice is to confirm that the final settlement has been completed, to identify the administrative steps required to close the matter, and to request written confirmation that this notice has been received and reviewed.</w:t>
      </w:r>
    </w:p>
    <w:p>
      <w:pPr>
        <w:pStyle w:val="BodyText"/>
        <w:bidi w:val="0"/>
        <w:rPr/>
      </w:pPr>
      <w:r>
        <w:rPr/>
        <w:t>Upon completion of the final settlement, the parties’ financial account has been reconciled, and no further payment, invoice, credit, or adjustment is expected to be issued unless the parties subsequently agree in writing. All amounts, credits, and offsets identified in the settlement documentation are considered final and binding, subject to any applicable legal requirements and the terms of the underlying settlement agreement.</w:t>
      </w:r>
    </w:p>
    <w:p>
      <w:pPr>
        <w:pStyle w:val="BodyText"/>
        <w:bidi w:val="0"/>
        <w:rPr/>
      </w:pPr>
      <w:r>
        <w:rPr/>
        <w:t>Acme Corp requests that you retain this notice for your records and provide a written acknowledgment of receipt by reply. Your acknowledgment should include the reference number shown above and should confirm that you have received this notice and had the opportunity to review its contents. If you have any questions regarding the final settlement, the reconciliation of the account, or the administrative closure of the matter, please direct your written inquiry to the contact information provided below.</w:t>
      </w:r>
    </w:p>
    <w:p>
      <w:pPr>
        <w:pStyle w:val="BodyText"/>
        <w:bidi w:val="0"/>
        <w:rPr/>
      </w:pPr>
      <w:r>
        <w:rPr/>
        <w:t>This notice is provided for administrative and record-keeping purposes. It does not create any new substantive rights or obligations beyond those already established by the applicable settlement documentation, and it does not modify, waive, or supersede any existing agreement except as expressly stated in the settlement documentation. Acme Corp reserves all rights and remedies available to it under applicable law and under the relevant agreements, except to the extent expressly released or waived in the settlement documentation.</w:t>
      </w:r>
    </w:p>
    <w:p>
      <w:pPr>
        <w:pStyle w:val="BodyText"/>
        <w:bidi w:val="0"/>
        <w:rPr/>
      </w:pPr>
      <w:r>
        <w:rPr/>
        <w:t>For clarity, the final settlement is intended to resolve the identified matters between the parties as of the effective date of the settlement. Any future claims, disputes, or issues that arise after the effective date of the settlement, or that are outside the scope of the settlement, are not covered by this notice and must be addressed in accordance with the applicable agreements and applicable law.</w:t>
      </w:r>
    </w:p>
    <w:p>
      <w:pPr>
        <w:pStyle w:val="BodyText"/>
        <w:bidi w:val="0"/>
        <w:rPr/>
      </w:pPr>
      <w:r>
        <w:rPr/>
        <w:t>Please ensure that any reply or correspondence relating to this notice is sent to the designated Acme Corp contact below. To avoid delays in processing, include the reference number and the name “John Smith” in the subject line of your correspondence.</w:t>
      </w:r>
    </w:p>
    <w:p>
      <w:pPr>
        <w:pStyle w:val="BodyText"/>
        <w:bidi w:val="0"/>
        <w:rPr/>
      </w:pPr>
      <w:r>
        <w:rPr/>
        <w:t>If you believe that any information in this notice is incomplete or requires clarification, please notify Acme Corp in writing promptly. Acme Corp will review any written clarification request and respond in a reasonable time frame consistent with its standard administrative procedures.</w:t>
      </w:r>
    </w:p>
    <w:p>
      <w:pPr>
        <w:pStyle w:val="BodyText"/>
        <w:bidi w:val="0"/>
        <w:spacing w:before="600" w:after="200"/>
        <w:ind w:hanging="0" w:start="0" w:end="0"/>
        <w:rPr/>
      </w:pPr>
      <w:r>
        <w:rPr/>
        <w:t>Regards,</w:t>
      </w:r>
    </w:p>
    <w:p>
      <w:pPr>
        <w:pStyle w:val="BodyText"/>
        <w:bidi w:val="0"/>
        <w:spacing w:before="600" w:after="200"/>
        <w:rPr/>
      </w:pPr>
      <w:r>
        <w:rPr/>
        <w:t>Acme Corp</w:t>
      </w:r>
    </w:p>
    <w:p>
      <w:pPr>
        <w:pStyle w:val="BodyText"/>
        <w:bidi w:val="0"/>
        <w:spacing w:before="600" w:after="200"/>
        <w:ind w:hanging="0" w:start="0" w:end="0"/>
        <w:rPr/>
      </w:pPr>
      <w:r>
        <w:rPr>
          <w:rStyle w:val="Strong"/>
        </w:rPr>
        <w:t>Authorized Representative</w:t>
      </w:r>
      <w:r>
        <w:rPr/>
        <w:br/>
      </w:r>
      <w:r>
        <w:rPr>
          <w:rStyle w:val="Emphasis"/>
        </w:rPr>
        <w:t>Acme Corp</w:t>
      </w:r>
      <w:r>
        <w:rPr/>
        <w:br/>
        <w:t xml:space="preserve">Title: </w:t>
      </w:r>
      <w:r>
        <w:rPr>
          <w:u w:val="single"/>
        </w:rPr>
        <w:t>[Title]</w:t>
      </w:r>
      <w:r>
        <w:rPr/>
        <w:br/>
        <w:t xml:space="preserve">Email: </w:t>
      </w:r>
      <w:r>
        <w:rPr>
          <w:u w:val="single"/>
        </w:rPr>
        <w:t>[Email Address]</w:t>
      </w:r>
      <w:r>
        <w:rPr/>
        <w:br/>
        <w:t xml:space="preserve">Phone: </w:t>
      </w:r>
      <w:r>
        <w:rPr>
          <w:u w:val="single"/>
        </w:rPr>
        <w:t>[Phone Number]</w:t>
      </w:r>
      <w:r>
        <w:rPr/>
        <w:t xml:space="preserve"> </w:t>
      </w:r>
    </w:p>
    <w:p>
      <w:pPr>
        <w:pStyle w:val="BodyTextsmall"/>
        <w:bidi w:val="0"/>
        <w:spacing w:before="360" w:after="200"/>
        <w:rPr/>
      </w:pPr>
      <w:r>
        <w:rPr/>
        <w:t>Enclosure: None</w:t>
        <w:br/>
        <w:t xml:space="preserve">Distribution: John Smith; Acme Corp records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440" w:after="1440"/>
      <w:ind w:start="1440" w:end="1440"/>
    </w:pPr>
    <w:rPr>
      <w:rFonts w:ascii="Arial;Helvetica;sans-serif" w:hAnsi="Arial;Helvetica;sans-serif" w:eastAsia="Arial;Helvetica;sans-serif" w:cs="Arial;Helvetica;sans-serif"/>
      <w:color w:val="000000"/>
      <w:sz w:val="22"/>
      <w:szCs w:val="22"/>
      <w:lang w:val="en-US" w:eastAsia="zh-CN" w:bidi="hi-IN"/>
    </w:rPr>
  </w:style>
  <w:style w:type="paragraph" w:styleId="Heading1">
    <w:name w:val="Heading 1"/>
    <w:basedOn w:val="Heading"/>
    <w:next w:val="BodyText"/>
    <w:qFormat/>
    <w:pPr>
      <w:jc w:val="center"/>
    </w:pPr>
    <w:rPr>
      <w:rFonts w:ascii="Noto Sans" w:hAnsi="Noto Sans"/>
      <w:b/>
      <w:bCs/>
      <w:spacing w:val="30"/>
      <w:sz w:val="40"/>
      <w:szCs w:val="40"/>
    </w:rPr>
  </w:style>
  <w:style w:type="paragraph" w:styleId="Heading2">
    <w:name w:val="Heading 2"/>
    <w:basedOn w:val="Heading"/>
    <w:next w:val="BodyText"/>
    <w:qFormat/>
    <w:pPr>
      <w:spacing w:before="120" w:after="360"/>
      <w:ind w:start="120" w:end="120"/>
      <w:jc w:val="center"/>
      <w:outlineLvl w:val="1"/>
    </w:pPr>
    <w:rPr>
      <w:rFonts w:ascii="Liberation Serif" w:hAnsi="Liberation Serif" w:eastAsia="Noto Serif CJK SC" w:cs="Noto Sans Devanagari"/>
      <w:b w:val="false"/>
      <w:bCs w:val="false"/>
      <w:color w:val="222222"/>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salutation">
    <w:name w:val="Body Text.salutation"/>
    <w:basedOn w:val="BodyText"/>
    <w:qFormat/>
    <w:pPr>
      <w:spacing w:before="280" w:after="200"/>
    </w:pPr>
    <w:rPr/>
  </w:style>
  <w:style w:type="paragraph" w:styleId="BodyTextsmall">
    <w:name w:val="Body Text.small"/>
    <w:basedOn w:val="BodyText"/>
    <w:qFormat/>
    <w:pPr>
      <w:spacing w:before="360" w:after="200"/>
    </w:pPr>
    <w:rPr>
      <w:color w:val="333333"/>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Final Settlement Notice</dc:title>
</cp:coreProperties>
</file>

<file path=docProps/custom.xml><?xml version="1.0" encoding="utf-8"?>
<Properties xmlns="http://schemas.openxmlformats.org/officeDocument/2006/custom-properties" xmlns:vt="http://schemas.openxmlformats.org/officeDocument/2006/docPropsVTypes"/>
</file>