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0" w:after="450"/>
        <w:ind w:hanging="0" w:start="0" w:end="0"/>
        <w:jc w:val="center"/>
        <w:rPr>
          <w:bdr w:val="single" w:sz="12" w:space="8" w:color="000000"/>
        </w:rPr>
      </w:pPr>
      <w:r>
        <w:rPr>
          <w:bdr w:val="single" w:sz="12" w:space="8" w:color="000000"/>
        </w:rPr>
        <w:t>Meridian Logistics, Inc.</w:t>
      </w:r>
    </w:p>
    <w:p>
      <w:pPr>
        <w:pStyle w:val="BodyText"/>
        <w:bidi w:val="0"/>
        <w:spacing w:before="0" w:after="450"/>
        <w:jc w:val="center"/>
        <w:rPr>
          <w:bdr w:val="single" w:sz="12" w:space="8" w:color="000000"/>
        </w:rPr>
      </w:pPr>
      <w:r>
        <w:rPr>
          <w:bdr w:val="single" w:sz="12" w:space="8" w:color="000000"/>
        </w:rPr>
        <w:t>Vendor Agreement — Draft for Internal Review</w:t>
      </w:r>
    </w:p>
    <w:p>
      <w:pPr>
        <w:pStyle w:val="BodyText"/>
        <w:bidi w:val="0"/>
        <w:spacing w:before="0" w:after="450"/>
        <w:jc w:val="center"/>
        <w:rPr/>
      </w:pPr>
      <w:r>
        <w:rPr>
          <w:rStyle w:val="Strong"/>
          <w:bdr w:val="single" w:sz="12" w:space="8" w:color="000000"/>
        </w:rPr>
        <w:t>Prepared by:</w:t>
      </w:r>
      <w:r>
        <w:rPr>
          <w:bdr w:val="single" w:sz="12" w:space="8" w:color="000000"/>
        </w:rPr>
        <w:t xml:space="preserve"> Contracts Administration</w:t>
      </w:r>
    </w:p>
    <w:p>
      <w:pPr>
        <w:pStyle w:val="BodyText"/>
        <w:bidi w:val="0"/>
        <w:spacing w:before="0" w:after="450"/>
        <w:jc w:val="center"/>
        <w:rPr/>
      </w:pPr>
      <w:r>
        <w:rPr>
          <w:rStyle w:val="Strong"/>
          <w:bdr w:val="single" w:sz="12" w:space="8" w:color="000000"/>
        </w:rPr>
        <w:t>Document ID:</w:t>
      </w:r>
      <w:r>
        <w:rPr>
          <w:bdr w:val="single" w:sz="12" w:space="8" w:color="000000"/>
        </w:rPr>
        <w:t xml:space="preserve"> ML-VA-2026-0142</w:t>
      </w:r>
    </w:p>
    <w:p>
      <w:pPr>
        <w:pStyle w:val="BodyText"/>
        <w:bidi w:val="0"/>
        <w:spacing w:before="0" w:after="450"/>
        <w:jc w:val="center"/>
        <w:rPr/>
      </w:pPr>
      <w:r>
        <w:rPr>
          <w:rStyle w:val="Strong"/>
          <w:bdr w:val="single" w:sz="12" w:space="8" w:color="000000"/>
        </w:rPr>
        <w:t>Status:</w:t>
      </w:r>
      <w:r>
        <w:rPr>
          <w:bdr w:val="single" w:sz="12" w:space="8" w:color="000000"/>
        </w:rPr>
        <w:t xml:space="preserve"> DRAFT — for internal review only</w:t>
      </w:r>
    </w:p>
    <w:p>
      <w:pPr>
        <w:pStyle w:val="BodyText"/>
        <w:bidi w:val="0"/>
        <w:spacing w:before="0" w:after="300"/>
        <w:ind w:hanging="0" w:start="0" w:end="0"/>
        <w:jc w:val="center"/>
        <w:rPr>
          <w:b/>
          <w:color w:val="CC0000"/>
          <w:sz w:val="20"/>
          <w:bdr w:val="single" w:sz="2" w:space="8" w:color="CC0000"/>
          <w:shd w:fill="FFF0F0" w:val="clear"/>
        </w:rPr>
      </w:pPr>
      <w:r>
        <w:rPr>
          <w:b/>
          <w:color w:val="CC0000"/>
          <w:sz w:val="20"/>
          <w:bdr w:val="single" w:sz="2" w:space="8" w:color="CC0000"/>
          <w:shd w:fill="FFF0F0" w:val="clear"/>
        </w:rPr>
        <w:t xml:space="preserve">INTERNAL USE ONLY — DO NOT DISTRIBUTE EXTERNALLY </w:t>
      </w:r>
    </w:p>
    <w:p>
      <w:pPr>
        <w:pStyle w:val="Heading2"/>
        <w:bidi w:val="0"/>
        <w:jc w:val="start"/>
        <w:rPr/>
      </w:pPr>
      <w:r>
        <w:rPr/>
        <w:t>1. Parties</w:t>
      </w:r>
    </w:p>
    <w:p>
      <w:pPr>
        <w:pStyle w:val="BodyText"/>
        <w:bidi w:val="0"/>
        <w:rPr/>
      </w:pPr>
      <w:r>
        <w:rPr/>
        <w:t>This Vendor Agreement ("Agreement") is entered into by and between Meridian Logistics, Inc., a Delaware corporation with its principal office at 400 Commerce Way, Suite 900, Wilmington, DE 19801 ("Company"), and the vendor identified on the signature page ("Vendor"). The Company and Vendor may individually be referred to as a "Party" and collectively as the "Parties."</w:t>
      </w:r>
    </w:p>
    <w:p>
      <w:pPr>
        <w:pStyle w:val="Heading2"/>
        <w:bidi w:val="0"/>
        <w:jc w:val="start"/>
        <w:rPr/>
      </w:pPr>
      <w:r>
        <w:rPr/>
        <w:t>2. Scope of Services</w:t>
      </w:r>
    </w:p>
    <w:p>
      <w:pPr>
        <w:pStyle w:val="BodyText"/>
        <w:bidi w:val="0"/>
        <w:rPr/>
      </w:pPr>
      <w:r>
        <w:rPr/>
        <w:t>Vendor shall provide freight brokerage and last-mile delivery coordination services in accordance with the service levels set out in Exhibit A. Company may request reasonable modifications to routing, scheduling, and reporting formats during the term of this Agreement. Vendor agrees to utilize its commercially reasonable efforts to meet all service level objectives and to provide timely notice to Company of any anticipated delays or disruptions that may affect service delivery.</w:t>
      </w:r>
    </w:p>
    <w:p>
      <w:pPr>
        <w:pStyle w:val="Heading2"/>
        <w:bidi w:val="0"/>
        <w:jc w:val="start"/>
        <w:rPr/>
      </w:pPr>
      <w:r>
        <w:rPr/>
        <w:t>3. Term and Renewal</w:t>
      </w:r>
    </w:p>
    <w:p>
      <w:pPr>
        <w:pStyle w:val="BodyText"/>
        <w:bidi w:val="0"/>
        <w:rPr/>
      </w:pPr>
      <w:r>
        <w:rPr/>
        <w:t>This Agreement is effective as of January 12, 2026 and shall continue until February 28, 2026, unless earlier terminated in accordance with Section 9. Either party may propose a renewal no later than thirty (30) days prior to the expiration date. Any renewal shall be subject to mutual written agreement and may include adjustments to fees and service levels as negotiated by the Parties.</w:t>
      </w:r>
    </w:p>
    <w:p>
      <w:pPr>
        <w:pStyle w:val="Heading2"/>
        <w:bidi w:val="0"/>
        <w:jc w:val="start"/>
        <w:rPr/>
      </w:pPr>
      <w:r>
        <w:rPr/>
        <w:t>4. Fees and Payment</w:t>
      </w:r>
    </w:p>
    <w:p>
      <w:pPr>
        <w:pStyle w:val="BodyText"/>
        <w:bidi w:val="0"/>
        <w:rPr/>
      </w:pPr>
      <w:r>
        <w:rPr/>
        <w:t>Company shall pay Vendor the fees described in the rate card attached as Exhibit B. Invoices are payable net forty-five (45) days from the date of receipt of a correctly rendered invoice. Late payments bear interest at the lesser of 1.5% per month or the maximum rate permitted by applicable law. Vendor shall include the Document ID and a detailed description of services rendered on all invoices to facilitate prompt processing.</w:t>
      </w:r>
    </w:p>
    <w:p>
      <w:pPr>
        <w:pStyle w:val="Heading2"/>
        <w:bidi w:val="0"/>
        <w:jc w:val="start"/>
        <w:rPr/>
      </w:pPr>
      <w:r>
        <w:rPr/>
        <w:t>5. Confidentiality</w:t>
      </w:r>
    </w:p>
    <w:p>
      <w:pPr>
        <w:pStyle w:val="BodyText"/>
        <w:bidi w:val="0"/>
        <w:rPr/>
      </w:pPr>
      <w:r>
        <w:rPr/>
        <w:t>Each party shall protect the other party's Confidential Information using at least the same degree of care it uses to protect its own confidential information, and in no event less than reasonable care. Confidential Information may not be disclosed to any third party except to employees, agents, and professional advisors with a need to know who are bound by obligations no less restrictive than those set forth in this Section. This obligation shall survive the termination of this Agreement for a period of three (3) years.</w:t>
      </w:r>
    </w:p>
    <w:p>
      <w:pPr>
        <w:pStyle w:val="Heading2"/>
        <w:bidi w:val="0"/>
        <w:jc w:val="start"/>
        <w:rPr/>
      </w:pPr>
      <w:r>
        <w:rPr/>
        <w:t>6. Indemnification</w:t>
      </w:r>
    </w:p>
    <w:p>
      <w:pPr>
        <w:pStyle w:val="BodyText"/>
        <w:bidi w:val="0"/>
        <w:rPr/>
      </w:pPr>
      <w:r>
        <w:rPr/>
        <w:t>Vendor shall defend, indemnify, and hold harmless Company and its officers, directors, employees, and agents from and against any third-party claims, damages, and reasonable attorneys' fees arising out of or relating to Vendor's performance under this Agreement, except to the extent such claims arise from Company's gross negligence or willful misconduct. Vendor shall notify Company promptly of any such claim and shall not settle any claim without Company's prior written consent.</w:t>
      </w:r>
    </w:p>
    <w:p>
      <w:pPr>
        <w:pStyle w:val="Heading2"/>
        <w:bidi w:val="0"/>
        <w:jc w:val="start"/>
        <w:rPr/>
      </w:pPr>
      <w:r>
        <w:rPr/>
        <w:t>7. Limitation of Liability</w:t>
      </w:r>
    </w:p>
    <w:p>
      <w:pPr>
        <w:pStyle w:val="BodyText"/>
        <w:bidi w:val="0"/>
        <w:rPr/>
      </w:pPr>
      <w:r>
        <w:rPr>
          <w:rStyle w:val="Strong"/>
        </w:rPr>
        <w:t>EXCEPT FOR BREACHES OF SECTION 5 OR OBLIGATIONS UNDER SECTION 6, NEITHER PARTY'S AGGREGATE LIABILITY ARISING OUT OF THIS AGREEMENT SHALL EXCEED THE TOTAL FEES PAID OR PAYABLE DURING THE TWELVE (12) MONTHS PRECEDING THE EVENT GIVING RISE TO THE CLAIM. NEITHER PARTY SHALL BE LIABLE FOR ANY INDIRECT, INCIDENTAL, SPECIAL, OR CONSEQUENTIAL DAMAGES.</w:t>
      </w:r>
    </w:p>
    <w:p>
      <w:pPr>
        <w:pStyle w:val="Heading2"/>
        <w:bidi w:val="0"/>
        <w:jc w:val="start"/>
        <w:rPr/>
      </w:pPr>
      <w:r>
        <w:rPr/>
        <w:t>8. Independent Contractor</w:t>
      </w:r>
    </w:p>
    <w:p>
      <w:pPr>
        <w:pStyle w:val="BodyText"/>
        <w:bidi w:val="0"/>
        <w:rPr/>
      </w:pPr>
      <w:r>
        <w:rPr/>
        <w:t>Vendor is an independent contractor. Nothing in this Agreement creates a partnership, joint venture, agency, or employment relationship between the parties. Vendor is solely responsible for all taxes, withholdings, and other obligations arising from its performance of services under this Agreement.</w:t>
      </w:r>
    </w:p>
    <w:p>
      <w:pPr>
        <w:pStyle w:val="Heading2"/>
        <w:bidi w:val="0"/>
        <w:jc w:val="start"/>
        <w:rPr/>
      </w:pPr>
      <w:r>
        <w:rPr/>
        <w:t>9. Termination</w:t>
      </w:r>
    </w:p>
    <w:p>
      <w:pPr>
        <w:pStyle w:val="BodyText"/>
        <w:bidi w:val="0"/>
        <w:rPr/>
      </w:pPr>
      <w:r>
        <w:rPr/>
        <w:t>Either party may terminate this Agreement upon thirty (30) days' written notice. Company may terminate immediately upon written notice if Vendor breaches any material provision and fails to cure such breach within fifteen (15) days of receiving written notice. Termination shall not affect any rights or obligations that have accrued prior to termination, including payment for services rendered.</w:t>
      </w:r>
    </w:p>
    <w:p>
      <w:pPr>
        <w:pStyle w:val="Heading2"/>
        <w:bidi w:val="0"/>
        <w:jc w:val="start"/>
        <w:rPr/>
      </w:pPr>
      <w:r>
        <w:rPr/>
        <w:t>10. Governing Law</w:t>
      </w:r>
    </w:p>
    <w:p>
      <w:pPr>
        <w:pStyle w:val="BodyText"/>
        <w:bidi w:val="0"/>
        <w:rPr/>
      </w:pPr>
      <w:r>
        <w:rPr/>
        <w:t>This Agreement shall be governed by and construed in accordance with the laws of the State of Delaware, without regard to its conflict of laws principles. The Parties consent to the exclusive jurisdiction of the state and federal courts located in New Castle County, Delaware, for any disputes arising out of or relating to this Agreement.</w:t>
      </w:r>
    </w:p>
    <w:p>
      <w:pPr>
        <w:pStyle w:val="Heading3"/>
        <w:keepLines/>
        <w:bidi w:val="0"/>
        <w:spacing w:before="600" w:after="150"/>
        <w:ind w:hanging="0" w:start="0" w:end="0"/>
        <w:jc w:val="start"/>
        <w:rPr/>
      </w:pPr>
      <w:r>
        <w:rPr/>
        <w:t>Signature Block (to be completed at execution)</w:t>
      </w:r>
    </w:p>
    <w:p>
      <w:pPr>
        <w:pStyle w:val="BodyText"/>
        <w:keepLines/>
        <w:bidi w:val="0"/>
        <w:spacing w:before="600" w:after="150"/>
        <w:rPr/>
      </w:pPr>
      <w:r>
        <w:rPr>
          <w:rStyle w:val="Strong"/>
        </w:rPr>
        <w:t>Company: Meridian Logistics, Inc.</w:t>
      </w:r>
    </w:p>
    <w:p>
      <w:pPr>
        <w:pStyle w:val="BodyText"/>
        <w:keepLines/>
        <w:bidi w:val="0"/>
        <w:spacing w:before="600" w:after="150"/>
        <w:ind w:hanging="0" w:start="0" w:end="0"/>
        <w:rPr/>
      </w:pPr>
      <w:r>
        <w:rPr/>
        <w:t xml:space="preserve">By: </w:t>
      </w:r>
    </w:p>
    <w:p>
      <w:pPr>
        <w:pStyle w:val="BodyText"/>
        <w:keepLines/>
        <w:bidi w:val="0"/>
        <w:spacing w:before="600" w:after="150"/>
        <w:rPr/>
      </w:pPr>
      <w:r>
        <w:rPr/>
        <w:t>Name: Dana Whitfield</w:t>
      </w:r>
    </w:p>
    <w:p>
      <w:pPr>
        <w:pStyle w:val="BodyText"/>
        <w:keepLines/>
        <w:bidi w:val="0"/>
        <w:spacing w:before="600" w:after="150"/>
        <w:rPr/>
      </w:pPr>
      <w:r>
        <w:rPr/>
        <w:t>Title: Director of Procurement</w:t>
      </w:r>
    </w:p>
    <w:p>
      <w:pPr>
        <w:pStyle w:val="BodyText"/>
        <w:keepLines/>
        <w:bidi w:val="0"/>
        <w:spacing w:before="600" w:after="150"/>
        <w:rPr/>
      </w:pPr>
      <w:r>
        <w:rPr/>
        <w:t>Phone: (302) 555-0142</w:t>
      </w:r>
    </w:p>
    <w:p>
      <w:pPr>
        <w:pStyle w:val="BodyText"/>
        <w:keepLines/>
        <w:bidi w:val="0"/>
        <w:spacing w:before="600" w:after="150"/>
        <w:rPr/>
      </w:pPr>
      <w:r>
        <w:rPr/>
      </w:r>
    </w:p>
    <w:p>
      <w:pPr>
        <w:pStyle w:val="BodyText"/>
        <w:keepLines/>
        <w:bidi w:val="0"/>
        <w:spacing w:before="600" w:after="150"/>
        <w:rPr/>
      </w:pPr>
      <w:r>
        <w:rPr>
          <w:rStyle w:val="Strong"/>
        </w:rPr>
        <w:t>Vendor:</w:t>
      </w:r>
    </w:p>
    <w:p>
      <w:pPr>
        <w:pStyle w:val="BodyText"/>
        <w:keepLines/>
        <w:bidi w:val="0"/>
        <w:spacing w:before="600" w:after="150"/>
        <w:ind w:hanging="0" w:start="0" w:end="0"/>
        <w:rPr/>
      </w:pPr>
      <w:r>
        <w:rPr/>
        <w:t xml:space="preserve">By: </w:t>
      </w:r>
    </w:p>
    <w:p>
      <w:pPr>
        <w:pStyle w:val="BodyText"/>
        <w:keepLines/>
        <w:bidi w:val="0"/>
        <w:spacing w:before="600" w:after="150"/>
        <w:rPr/>
      </w:pPr>
      <w:r>
        <w:rPr/>
        <w:t>Name: __________________________</w:t>
      </w:r>
    </w:p>
    <w:p>
      <w:pPr>
        <w:pStyle w:val="BodyText"/>
        <w:keepLines/>
        <w:bidi w:val="0"/>
        <w:spacing w:before="600" w:after="150"/>
        <w:rPr/>
      </w:pPr>
      <w:r>
        <w:rPr/>
        <w:t>Title: __________________________</w:t>
      </w:r>
    </w:p>
    <w:p>
      <w:pPr>
        <w:pStyle w:val="Heading2"/>
        <w:bidi w:val="0"/>
        <w:spacing w:before="300" w:after="150"/>
        <w:ind w:hanging="0" w:start="0" w:end="0"/>
        <w:jc w:val="start"/>
        <w:rPr/>
      </w:pPr>
      <w:r>
        <w:rPr/>
        <w:t>Exhibit A — Service Levels (summary)</w:t>
      </w:r>
    </w:p>
    <w:p>
      <w:pPr>
        <w:pStyle w:val="BodyText"/>
        <w:numPr>
          <w:ilvl w:val="0"/>
          <w:numId w:val="1"/>
        </w:numPr>
        <w:tabs>
          <w:tab w:val="clear" w:pos="1134"/>
          <w:tab w:val="left" w:pos="2149" w:leader="none"/>
        </w:tabs>
        <w:bidi w:val="0"/>
        <w:spacing w:before="300" w:after="150"/>
        <w:ind w:hanging="283" w:start="2149"/>
        <w:rPr/>
      </w:pPr>
      <w:r>
        <w:rPr/>
        <w:t xml:space="preserve">Pickup confirmation within 2 business hours of dispatch. </w:t>
      </w:r>
    </w:p>
    <w:p>
      <w:pPr>
        <w:pStyle w:val="BodyText"/>
        <w:numPr>
          <w:ilvl w:val="0"/>
          <w:numId w:val="1"/>
        </w:numPr>
        <w:tabs>
          <w:tab w:val="clear" w:pos="1134"/>
          <w:tab w:val="left" w:pos="2149" w:leader="none"/>
        </w:tabs>
        <w:bidi w:val="0"/>
        <w:spacing w:before="300" w:after="150"/>
        <w:ind w:hanging="283" w:start="2149"/>
        <w:rPr/>
      </w:pPr>
      <w:r>
        <w:rPr/>
        <w:t xml:space="preserve">Delivery status updates at minimum every 8 hours during transit. </w:t>
      </w:r>
    </w:p>
    <w:p>
      <w:pPr>
        <w:pStyle w:val="BodyText"/>
        <w:numPr>
          <w:ilvl w:val="0"/>
          <w:numId w:val="1"/>
        </w:numPr>
        <w:tabs>
          <w:tab w:val="clear" w:pos="1134"/>
          <w:tab w:val="left" w:pos="2149" w:leader="none"/>
        </w:tabs>
        <w:bidi w:val="0"/>
        <w:spacing w:before="300" w:after="150"/>
        <w:ind w:hanging="283" w:start="2149"/>
        <w:rPr/>
      </w:pPr>
      <w:r>
        <w:rPr/>
        <w:t xml:space="preserve">Weekly exception report delivered by 9:00 a.m. ET on Mondays. </w:t>
      </w:r>
    </w:p>
    <w:p>
      <w:pPr>
        <w:pStyle w:val="BodyText"/>
        <w:numPr>
          <w:ilvl w:val="0"/>
          <w:numId w:val="1"/>
        </w:numPr>
        <w:tabs>
          <w:tab w:val="clear" w:pos="1134"/>
          <w:tab w:val="left" w:pos="2149" w:leader="none"/>
        </w:tabs>
        <w:bidi w:val="0"/>
        <w:spacing w:before="300" w:after="150"/>
        <w:ind w:hanging="283" w:start="2149"/>
        <w:rPr/>
      </w:pPr>
      <w:r>
        <w:rPr/>
        <w:t xml:space="preserve">On-time delivery target: 96% measured monthly. </w:t>
      </w:r>
    </w:p>
    <w:p>
      <w:pPr>
        <w:pStyle w:val="Heading2"/>
        <w:bidi w:val="0"/>
        <w:spacing w:before="300" w:after="150"/>
        <w:ind w:hanging="0" w:start="0" w:end="0"/>
        <w:jc w:val="start"/>
        <w:rPr/>
      </w:pPr>
      <w:r>
        <w:rPr/>
        <w:t>Exhibit B — Rate Card (summary)</w:t>
      </w:r>
    </w:p>
    <w:tbl>
      <w:tblPr>
        <w:tblW w:w="7518" w:type="dxa"/>
        <w:jc w:val="start"/>
        <w:tblInd w:w="0" w:type="dxa"/>
        <w:tblLayout w:type="fixed"/>
        <w:tblCellMar>
          <w:top w:w="28" w:type="dxa"/>
          <w:start w:w="28" w:type="dxa"/>
          <w:bottom w:w="28" w:type="dxa"/>
          <w:end w:w="28" w:type="dxa"/>
        </w:tblCellMar>
      </w:tblPr>
      <w:tblGrid>
        <w:gridCol w:w="2536"/>
        <w:gridCol w:w="2311"/>
        <w:gridCol w:w="2671"/>
      </w:tblGrid>
      <w:tr>
        <w:trPr>
          <w:tblHeader w:val="true"/>
        </w:trPr>
        <w:tc>
          <w:tcPr>
            <w:tcW w:w="2536" w:type="dxa"/>
            <w:tcBorders/>
            <w:vAlign w:val="center"/>
          </w:tcPr>
          <w:p>
            <w:pPr>
              <w:pStyle w:val="TableHeading"/>
              <w:suppressLineNumbers/>
              <w:shd w:fill="F2F2F2" w:val="clear"/>
              <w:bidi w:val="0"/>
              <w:spacing w:before="0" w:after="150"/>
              <w:jc w:val="start"/>
              <w:rPr/>
            </w:pPr>
            <w:r>
              <w:rPr/>
              <w:t>Service Type</w:t>
            </w:r>
          </w:p>
        </w:tc>
        <w:tc>
          <w:tcPr>
            <w:tcW w:w="2311" w:type="dxa"/>
            <w:tcBorders/>
            <w:vAlign w:val="center"/>
          </w:tcPr>
          <w:p>
            <w:pPr>
              <w:pStyle w:val="TableHeading"/>
              <w:suppressLineNumbers/>
              <w:shd w:fill="F2F2F2" w:val="clear"/>
              <w:bidi w:val="0"/>
              <w:spacing w:before="0" w:after="150"/>
              <w:jc w:val="start"/>
              <w:rPr/>
            </w:pPr>
            <w:r>
              <w:rPr/>
              <w:t>Rate</w:t>
            </w:r>
          </w:p>
        </w:tc>
        <w:tc>
          <w:tcPr>
            <w:tcW w:w="2671" w:type="dxa"/>
            <w:tcBorders/>
            <w:vAlign w:val="center"/>
          </w:tcPr>
          <w:p>
            <w:pPr>
              <w:pStyle w:val="TableHeading"/>
              <w:suppressLineNumbers/>
              <w:shd w:fill="F2F2F2" w:val="clear"/>
              <w:bidi w:val="0"/>
              <w:spacing w:before="0" w:after="150"/>
              <w:jc w:val="start"/>
              <w:rPr/>
            </w:pPr>
            <w:r>
              <w:rPr/>
              <w:t>Notes</w:t>
            </w:r>
          </w:p>
        </w:tc>
      </w:tr>
      <w:tr>
        <w:trPr/>
        <w:tc>
          <w:tcPr>
            <w:tcW w:w="2536" w:type="dxa"/>
            <w:tcBorders/>
            <w:vAlign w:val="center"/>
          </w:tcPr>
          <w:p>
            <w:pPr>
              <w:pStyle w:val="TableContents"/>
              <w:bidi w:val="0"/>
              <w:spacing w:before="0" w:after="150"/>
              <w:jc w:val="start"/>
              <w:rPr/>
            </w:pPr>
            <w:r>
              <w:rPr/>
              <w:t>Standard linehaul</w:t>
            </w:r>
          </w:p>
        </w:tc>
        <w:tc>
          <w:tcPr>
            <w:tcW w:w="2311" w:type="dxa"/>
            <w:tcBorders/>
            <w:vAlign w:val="center"/>
          </w:tcPr>
          <w:p>
            <w:pPr>
              <w:pStyle w:val="TableContents"/>
              <w:bidi w:val="0"/>
              <w:spacing w:before="0" w:after="150"/>
              <w:jc w:val="start"/>
              <w:rPr/>
            </w:pPr>
            <w:r>
              <w:rPr/>
              <w:t>$2.40 per mile</w:t>
            </w:r>
          </w:p>
        </w:tc>
        <w:tc>
          <w:tcPr>
            <w:tcW w:w="2671" w:type="dxa"/>
            <w:tcBorders/>
            <w:vAlign w:val="center"/>
          </w:tcPr>
          <w:p>
            <w:pPr>
              <w:pStyle w:val="TableContents"/>
              <w:bidi w:val="0"/>
              <w:spacing w:before="0" w:after="150"/>
              <w:jc w:val="start"/>
              <w:rPr/>
            </w:pPr>
            <w:r>
              <w:rPr/>
              <w:t>Applies to all standard freight movements.</w:t>
            </w:r>
          </w:p>
        </w:tc>
      </w:tr>
      <w:tr>
        <w:trPr/>
        <w:tc>
          <w:tcPr>
            <w:tcW w:w="2536" w:type="dxa"/>
            <w:tcBorders/>
            <w:vAlign w:val="center"/>
          </w:tcPr>
          <w:p>
            <w:pPr>
              <w:pStyle w:val="TableContents"/>
              <w:bidi w:val="0"/>
              <w:spacing w:before="0" w:after="150"/>
              <w:jc w:val="start"/>
              <w:rPr/>
            </w:pPr>
            <w:r>
              <w:rPr/>
              <w:t>Last-mile delivery</w:t>
            </w:r>
          </w:p>
        </w:tc>
        <w:tc>
          <w:tcPr>
            <w:tcW w:w="2311" w:type="dxa"/>
            <w:tcBorders/>
            <w:vAlign w:val="center"/>
          </w:tcPr>
          <w:p>
            <w:pPr>
              <w:pStyle w:val="TableContents"/>
              <w:bidi w:val="0"/>
              <w:spacing w:before="0" w:after="150"/>
              <w:jc w:val="start"/>
              <w:rPr/>
            </w:pPr>
            <w:r>
              <w:rPr/>
              <w:t>$18.50 per stop</w:t>
            </w:r>
          </w:p>
        </w:tc>
        <w:tc>
          <w:tcPr>
            <w:tcW w:w="2671" w:type="dxa"/>
            <w:tcBorders/>
            <w:vAlign w:val="center"/>
          </w:tcPr>
          <w:p>
            <w:pPr>
              <w:pStyle w:val="TableContents"/>
              <w:bidi w:val="0"/>
              <w:spacing w:before="0" w:after="150"/>
              <w:jc w:val="start"/>
              <w:rPr/>
            </w:pPr>
            <w:r>
              <w:rPr/>
              <w:t>Includes standard residential and commercial stops.</w:t>
            </w:r>
          </w:p>
        </w:tc>
      </w:tr>
      <w:tr>
        <w:trPr/>
        <w:tc>
          <w:tcPr>
            <w:tcW w:w="2536" w:type="dxa"/>
            <w:tcBorders/>
            <w:vAlign w:val="center"/>
          </w:tcPr>
          <w:p>
            <w:pPr>
              <w:pStyle w:val="TableContents"/>
              <w:bidi w:val="0"/>
              <w:spacing w:before="0" w:after="150"/>
              <w:jc w:val="start"/>
              <w:rPr/>
            </w:pPr>
            <w:r>
              <w:rPr/>
              <w:t>Fuel surcharge</w:t>
            </w:r>
          </w:p>
        </w:tc>
        <w:tc>
          <w:tcPr>
            <w:tcW w:w="2311" w:type="dxa"/>
            <w:tcBorders/>
            <w:vAlign w:val="center"/>
          </w:tcPr>
          <w:p>
            <w:pPr>
              <w:pStyle w:val="TableContents"/>
              <w:bidi w:val="0"/>
              <w:spacing w:before="0" w:after="150"/>
              <w:jc w:val="start"/>
              <w:rPr/>
            </w:pPr>
            <w:r>
              <w:rPr/>
              <w:t>Variable</w:t>
            </w:r>
          </w:p>
        </w:tc>
        <w:tc>
          <w:tcPr>
            <w:tcW w:w="2671" w:type="dxa"/>
            <w:tcBorders/>
            <w:vAlign w:val="center"/>
          </w:tcPr>
          <w:p>
            <w:pPr>
              <w:pStyle w:val="TableContents"/>
              <w:bidi w:val="0"/>
              <w:spacing w:before="0" w:after="150"/>
              <w:jc w:val="start"/>
              <w:rPr/>
            </w:pPr>
            <w:r>
              <w:rPr/>
              <w:t>As published monthly on the Company intranet.</w:t>
            </w:r>
          </w:p>
        </w:tc>
      </w:tr>
      <w:tr>
        <w:trPr/>
        <w:tc>
          <w:tcPr>
            <w:tcW w:w="2536" w:type="dxa"/>
            <w:tcBorders/>
            <w:vAlign w:val="center"/>
          </w:tcPr>
          <w:p>
            <w:pPr>
              <w:pStyle w:val="TableContents"/>
              <w:bidi w:val="0"/>
              <w:spacing w:before="0" w:after="150"/>
              <w:jc w:val="start"/>
              <w:rPr/>
            </w:pPr>
            <w:r>
              <w:rPr/>
              <w:t>Peak season adjustment</w:t>
            </w:r>
          </w:p>
        </w:tc>
        <w:tc>
          <w:tcPr>
            <w:tcW w:w="2311" w:type="dxa"/>
            <w:tcBorders/>
            <w:vAlign w:val="center"/>
          </w:tcPr>
          <w:p>
            <w:pPr>
              <w:pStyle w:val="TableContents"/>
              <w:bidi w:val="0"/>
              <w:spacing w:before="0" w:after="150"/>
              <w:jc w:val="start"/>
              <w:rPr/>
            </w:pPr>
            <w:r>
              <w:rPr/>
              <w:t>8%</w:t>
            </w:r>
          </w:p>
        </w:tc>
        <w:tc>
          <w:tcPr>
            <w:tcW w:w="2671" w:type="dxa"/>
            <w:tcBorders/>
            <w:vAlign w:val="center"/>
          </w:tcPr>
          <w:p>
            <w:pPr>
              <w:pStyle w:val="TableContents"/>
              <w:bidi w:val="0"/>
              <w:spacing w:before="0" w:after="150"/>
              <w:jc w:val="start"/>
              <w:rPr/>
            </w:pPr>
            <w:r>
              <w:rPr/>
              <w:t>Applies to weeks 48 through 52.</w:t>
            </w:r>
          </w:p>
        </w:tc>
      </w:tr>
    </w:tbl>
    <w:p>
      <w:pPr>
        <w:pStyle w:val="Heading2"/>
        <w:bidi w:val="0"/>
        <w:jc w:val="start"/>
        <w:rPr/>
      </w:pPr>
      <w:r>
        <w:rPr/>
        <w:t>Revision History</w:t>
      </w:r>
    </w:p>
    <w:tbl>
      <w:tblPr>
        <w:tblW w:w="7518" w:type="dxa"/>
        <w:jc w:val="start"/>
        <w:tblInd w:w="0" w:type="dxa"/>
        <w:tblLayout w:type="fixed"/>
        <w:tblCellMar>
          <w:top w:w="28" w:type="dxa"/>
          <w:start w:w="28" w:type="dxa"/>
          <w:bottom w:w="28" w:type="dxa"/>
          <w:end w:w="28" w:type="dxa"/>
        </w:tblCellMar>
      </w:tblPr>
      <w:tblGrid>
        <w:gridCol w:w="1921"/>
        <w:gridCol w:w="2093"/>
        <w:gridCol w:w="3504"/>
      </w:tblGrid>
      <w:tr>
        <w:trPr>
          <w:tblHeader w:val="true"/>
        </w:trPr>
        <w:tc>
          <w:tcPr>
            <w:tcW w:w="1921" w:type="dxa"/>
            <w:tcBorders/>
            <w:vAlign w:val="center"/>
          </w:tcPr>
          <w:p>
            <w:pPr>
              <w:pStyle w:val="TableHeading"/>
              <w:suppressLineNumbers/>
              <w:shd w:fill="F2F2F2" w:val="clear"/>
              <w:bidi w:val="0"/>
              <w:spacing w:before="0" w:after="150"/>
              <w:jc w:val="start"/>
              <w:rPr/>
            </w:pPr>
            <w:r>
              <w:rPr/>
              <w:t>Rev</w:t>
            </w:r>
          </w:p>
        </w:tc>
        <w:tc>
          <w:tcPr>
            <w:tcW w:w="2093" w:type="dxa"/>
            <w:tcBorders/>
            <w:vAlign w:val="center"/>
          </w:tcPr>
          <w:p>
            <w:pPr>
              <w:pStyle w:val="TableHeading"/>
              <w:suppressLineNumbers/>
              <w:shd w:fill="F2F2F2" w:val="clear"/>
              <w:bidi w:val="0"/>
              <w:spacing w:before="0" w:after="150"/>
              <w:jc w:val="start"/>
              <w:rPr/>
            </w:pPr>
            <w:r>
              <w:rPr/>
              <w:t>Date</w:t>
            </w:r>
          </w:p>
        </w:tc>
        <w:tc>
          <w:tcPr>
            <w:tcW w:w="3504" w:type="dxa"/>
            <w:tcBorders/>
            <w:vAlign w:val="center"/>
          </w:tcPr>
          <w:p>
            <w:pPr>
              <w:pStyle w:val="TableHeading"/>
              <w:suppressLineNumbers/>
              <w:shd w:fill="F2F2F2" w:val="clear"/>
              <w:bidi w:val="0"/>
              <w:spacing w:before="0" w:after="150"/>
              <w:jc w:val="start"/>
              <w:rPr/>
            </w:pPr>
            <w:r>
              <w:rPr/>
              <w:t>Description</w:t>
            </w:r>
          </w:p>
        </w:tc>
      </w:tr>
      <w:tr>
        <w:trPr/>
        <w:tc>
          <w:tcPr>
            <w:tcW w:w="1921" w:type="dxa"/>
            <w:tcBorders/>
            <w:vAlign w:val="center"/>
          </w:tcPr>
          <w:p>
            <w:pPr>
              <w:pStyle w:val="TableContents"/>
              <w:bidi w:val="0"/>
              <w:spacing w:before="0" w:after="150"/>
              <w:jc w:val="start"/>
              <w:rPr/>
            </w:pPr>
            <w:r>
              <w:rPr/>
              <w:t>0</w:t>
            </w:r>
          </w:p>
        </w:tc>
        <w:tc>
          <w:tcPr>
            <w:tcW w:w="2093" w:type="dxa"/>
            <w:tcBorders/>
            <w:vAlign w:val="center"/>
          </w:tcPr>
          <w:p>
            <w:pPr>
              <w:pStyle w:val="TableContents"/>
              <w:bidi w:val="0"/>
              <w:spacing w:before="0" w:after="150"/>
              <w:jc w:val="start"/>
              <w:rPr/>
            </w:pPr>
            <w:r>
              <w:rPr/>
              <w:t>Jan 5, 2026</w:t>
            </w:r>
          </w:p>
        </w:tc>
        <w:tc>
          <w:tcPr>
            <w:tcW w:w="3504" w:type="dxa"/>
            <w:tcBorders/>
            <w:vAlign w:val="center"/>
          </w:tcPr>
          <w:p>
            <w:pPr>
              <w:pStyle w:val="TableContents"/>
              <w:bidi w:val="0"/>
              <w:spacing w:before="0" w:after="150"/>
              <w:jc w:val="start"/>
              <w:rPr/>
            </w:pPr>
            <w:r>
              <w:rPr/>
              <w:t>Initial draft circulated for internal review.</w:t>
            </w:r>
          </w:p>
        </w:tc>
      </w:tr>
      <w:tr>
        <w:trPr/>
        <w:tc>
          <w:tcPr>
            <w:tcW w:w="1921" w:type="dxa"/>
            <w:tcBorders/>
            <w:vAlign w:val="center"/>
          </w:tcPr>
          <w:p>
            <w:pPr>
              <w:pStyle w:val="TableContents"/>
              <w:bidi w:val="0"/>
              <w:spacing w:before="0" w:after="150"/>
              <w:jc w:val="start"/>
              <w:rPr/>
            </w:pPr>
            <w:r>
              <w:rPr/>
              <w:t>1</w:t>
            </w:r>
          </w:p>
        </w:tc>
        <w:tc>
          <w:tcPr>
            <w:tcW w:w="2093" w:type="dxa"/>
            <w:tcBorders/>
            <w:vAlign w:val="center"/>
          </w:tcPr>
          <w:p>
            <w:pPr>
              <w:pStyle w:val="TableContents"/>
              <w:bidi w:val="0"/>
              <w:spacing w:before="0" w:after="150"/>
              <w:jc w:val="start"/>
              <w:rPr/>
            </w:pPr>
            <w:r>
              <w:rPr/>
              <w:t>Jan 8, 2026</w:t>
            </w:r>
          </w:p>
        </w:tc>
        <w:tc>
          <w:tcPr>
            <w:tcW w:w="3504" w:type="dxa"/>
            <w:tcBorders/>
            <w:vAlign w:val="center"/>
          </w:tcPr>
          <w:p>
            <w:pPr>
              <w:pStyle w:val="TableContents"/>
              <w:bidi w:val="0"/>
              <w:spacing w:before="0" w:after="150"/>
              <w:jc w:val="start"/>
              <w:rPr/>
            </w:pPr>
            <w:r>
              <w:rPr/>
              <w:t>Legal redlines incorporated; payment terms changed to net 45.</w:t>
            </w:r>
          </w:p>
        </w:tc>
      </w:tr>
      <w:tr>
        <w:trPr/>
        <w:tc>
          <w:tcPr>
            <w:tcW w:w="1921" w:type="dxa"/>
            <w:tcBorders/>
            <w:vAlign w:val="center"/>
          </w:tcPr>
          <w:p>
            <w:pPr>
              <w:pStyle w:val="TableContents"/>
              <w:bidi w:val="0"/>
              <w:spacing w:before="0" w:after="150"/>
              <w:jc w:val="start"/>
              <w:rPr/>
            </w:pPr>
            <w:r>
              <w:rPr/>
              <w:t>2</w:t>
            </w:r>
          </w:p>
        </w:tc>
        <w:tc>
          <w:tcPr>
            <w:tcW w:w="2093" w:type="dxa"/>
            <w:tcBorders/>
            <w:vAlign w:val="center"/>
          </w:tcPr>
          <w:p>
            <w:pPr>
              <w:pStyle w:val="TableContents"/>
              <w:bidi w:val="0"/>
              <w:spacing w:before="0" w:after="150"/>
              <w:jc w:val="start"/>
              <w:rPr/>
            </w:pPr>
            <w:r>
              <w:rPr/>
              <w:t>Jan 11, 2026</w:t>
            </w:r>
          </w:p>
        </w:tc>
        <w:tc>
          <w:tcPr>
            <w:tcW w:w="3504" w:type="dxa"/>
            <w:tcBorders/>
            <w:vAlign w:val="center"/>
          </w:tcPr>
          <w:p>
            <w:pPr>
              <w:pStyle w:val="TableContents"/>
              <w:bidi w:val="0"/>
              <w:spacing w:before="0" w:after="150"/>
              <w:jc w:val="start"/>
              <w:rPr/>
            </w:pPr>
            <w:r>
              <w:rPr/>
              <w:t>Service level thresholds updated per operations input.</w:t>
            </w:r>
          </w:p>
        </w:tc>
      </w:tr>
    </w:tbl>
    <w:p>
      <w:pPr>
        <w:pStyle w:val="BodyText"/>
        <w:bidi w:val="0"/>
        <w:rPr/>
      </w:pPr>
      <w:r>
        <w:rPr>
          <w:rStyle w:val="Strong"/>
        </w:rPr>
        <w:t>Attachments referenced:</w:t>
      </w:r>
      <w:r>
        <w:rPr/>
        <w:t xml:space="preserve"> Exhibit A (Service Levels), Exhibit B (Rate Card). Both exhibits are incorporated by reference and form part of this Agreement.</w:t>
      </w:r>
    </w:p>
    <w:p>
      <w:pPr>
        <w:pStyle w:val="Heading3"/>
        <w:bidi w:val="0"/>
        <w:spacing w:before="450" w:after="150"/>
        <w:ind w:hanging="0" w:start="0" w:end="0"/>
        <w:jc w:val="start"/>
        <w:rPr>
          <w:sz w:val="20"/>
        </w:rPr>
      </w:pPr>
      <w:r>
        <w:rPr>
          <w:sz w:val="20"/>
        </w:rPr>
        <w:t>Contact Information</w:t>
      </w:r>
    </w:p>
    <w:p>
      <w:pPr>
        <w:pStyle w:val="BodyText"/>
        <w:bidi w:val="0"/>
        <w:spacing w:before="450" w:after="150"/>
        <w:rPr>
          <w:sz w:val="20"/>
        </w:rPr>
      </w:pPr>
      <w:r>
        <w:rPr>
          <w:sz w:val="20"/>
        </w:rPr>
        <w:t>For the convenience of reviewers, a plain-text copy of the contact block is repeated below:</w:t>
      </w:r>
    </w:p>
    <w:p>
      <w:pPr>
        <w:pStyle w:val="BodyText"/>
        <w:bidi w:val="0"/>
        <w:spacing w:before="450" w:after="150"/>
        <w:rPr>
          <w:sz w:val="20"/>
        </w:rPr>
      </w:pPr>
      <w:r>
        <w:rPr>
          <w:sz w:val="20"/>
        </w:rPr>
        <w:t>Meridian Logistics, Inc.</w:t>
        <w:br/>
        <w:t>400 Commerce Way, Suite 900</w:t>
        <w:br/>
        <w:t>Wilmington, DE 19801</w:t>
        <w:br/>
        <w:t>Phone: (302) 555-0142</w:t>
        <w:br/>
        <w:t xml:space="preserve">Email: contracts@meridianlogistics.example </w:t>
      </w:r>
    </w:p>
    <w:p>
      <w:pPr>
        <w:pStyle w:val="BodyText"/>
        <w:bidi w:val="0"/>
        <w:spacing w:before="750" w:after="150"/>
        <w:ind w:hanging="0" w:start="0" w:end="0"/>
        <w:jc w:val="center"/>
        <w:rPr>
          <w:color w:val="333333"/>
          <w:sz w:val="18"/>
          <w:bdr w:val="single" w:sz="2" w:space="8" w:color="000000"/>
        </w:rPr>
      </w:pPr>
      <w:r>
        <w:rPr>
          <w:color w:val="333333"/>
          <w:sz w:val="18"/>
          <w:bdr w:val="single" w:sz="2" w:space="8" w:color="000000"/>
        </w:rPr>
        <w:t>© 2026 Meridian Logistics, Inc. Internal circulation only — reproduction, redistribution, or modification of this draft outside the firm is prohibited. This document contains commercially sensitive terms and is protected under the Company's information-handling policy.</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Times"/>
    <w:charset w:val="01" w:characterSet="utf-8"/>
    <w:family w:val="auto"/>
    <w:pitch w:val="default"/>
  </w:font>
  <w:font w:name="Noto Sans">
    <w:charset w:val="01" w:characterSet="utf-8"/>
    <w:family w:val="auto"/>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before="1440" w:after="1440"/>
      <w:ind w:start="1440" w:end="1440"/>
    </w:pPr>
    <w:rPr>
      <w:rFonts w:ascii="Times New Roman;Times;serif" w:hAnsi="Times New Roman;Times;serif" w:eastAsia="Times New Roman;Times;serif" w:cs="Times New Roman;Times;serif"/>
      <w:color w:val="000000"/>
      <w:sz w:val="22"/>
      <w:szCs w:val="22"/>
      <w:lang w:val="en-US" w:eastAsia="zh-CN" w:bidi="hi-IN"/>
    </w:rPr>
  </w:style>
  <w:style w:type="paragraph" w:styleId="Heading1">
    <w:name w:val="Heading 1"/>
    <w:basedOn w:val="Heading"/>
    <w:next w:val="BodyText"/>
    <w:qFormat/>
    <w:pPr/>
    <w:rPr>
      <w:rFonts w:ascii="Noto Sans" w:hAnsi="Noto Sans"/>
      <w:b/>
      <w:bCs/>
      <w:sz w:val="48"/>
      <w:szCs w:val="44"/>
    </w:rPr>
  </w:style>
  <w:style w:type="paragraph" w:styleId="Heading2">
    <w:name w:val="Heading 2"/>
    <w:basedOn w:val="Heading"/>
    <w:next w:val="BodyText"/>
    <w:qFormat/>
    <w:pPr>
      <w:spacing w:before="300" w:after="150"/>
      <w:outlineLvl w:val="1"/>
    </w:pPr>
    <w:rPr>
      <w:rFonts w:ascii="Liberation Serif" w:hAnsi="Liberation Serif" w:eastAsia="Noto Serif CJK SC" w:cs="Noto Sans Devanagari"/>
      <w:b/>
      <w:bCs/>
      <w:caps/>
      <w:sz w:val="24"/>
      <w:szCs w:val="24"/>
    </w:rPr>
  </w:style>
  <w:style w:type="paragraph" w:styleId="Heading3">
    <w:name w:val="Heading 3"/>
    <w:basedOn w:val="Heading"/>
    <w:next w:val="BodyText"/>
    <w:qFormat/>
    <w:pPr>
      <w:spacing w:before="225" w:after="75"/>
      <w:outlineLvl w:val="2"/>
    </w:pPr>
    <w:rPr>
      <w:rFonts w:ascii="Liberation Serif" w:hAnsi="Liberation Serif" w:eastAsia="Noto Serif CJK SC" w:cs="Noto Sans Devanagari"/>
      <w:b/>
      <w:bCs/>
      <w:sz w:val="22"/>
      <w:szCs w:val="22"/>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start"/>
    </w:pPr>
    <w:rPr/>
  </w:style>
  <w:style w:type="paragraph" w:styleId="Footer">
    <w:name w:val="Footer"/>
    <w:basedOn w:val="Normal"/>
    <w:pPr>
      <w:suppressLineNumbers/>
      <w:tabs>
        <w:tab w:val="clear" w:pos="1134"/>
        <w:tab w:val="center" w:pos="6258" w:leader="none"/>
        <w:tab w:val="right" w:pos="11077" w:leader="none"/>
      </w:tabs>
    </w:pPr>
    <w:rPr/>
  </w:style>
  <w:style w:type="paragraph" w:styleId="Header">
    <w:name w:val="Header"/>
    <w:basedOn w:val="Normal"/>
    <w:pPr>
      <w:suppressLineNumbers/>
      <w:tabs>
        <w:tab w:val="clear" w:pos="1134"/>
        <w:tab w:val="center" w:pos="6258" w:leader="none"/>
        <w:tab w:val="right" w:pos="11077" w:leader="none"/>
      </w:tabs>
    </w:pPr>
    <w:rPr/>
  </w:style>
  <w:style w:type="paragraph" w:styleId="HeaderandFooter">
    <w:name w:val="Header and Footer"/>
    <w:basedOn w:val="Normal"/>
    <w:qFormat/>
    <w:pPr>
      <w:suppressLineNumbers/>
      <w:tabs>
        <w:tab w:val="clear" w:pos="1134"/>
        <w:tab w:val="center" w:pos="6259" w:leader="none"/>
        <w:tab w:val="right" w:pos="1107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50"/>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F2F2F2" w:val="clear"/>
      <w:jc w:val="star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Vendor Agreement — Draft for Internal Review</dc:title>
</cp:coreProperties>
</file>

<file path=docProps/custom.xml><?xml version="1.0" encoding="utf-8"?>
<Properties xmlns="http://schemas.openxmlformats.org/officeDocument/2006/custom-properties" xmlns:vt="http://schemas.openxmlformats.org/officeDocument/2006/docPropsVTypes"/>
</file>