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company-name"/>
        <w:bidi w:val="0"/>
        <w:spacing w:before="0" w:after="300"/>
        <w:ind w:hanging="0" w:start="0" w:end="0"/>
        <w:jc w:val="center"/>
        <w:rPr>
          <w:bdr w:val="single" w:sz="12" w:space="8" w:color="000000"/>
        </w:rPr>
      </w:pPr>
      <w:r>
        <w:rPr>
          <w:bdr w:val="single" w:sz="12" w:space="8" w:color="000000"/>
        </w:rPr>
        <w:t>MERIDIAN LOGISTICS</w:t>
      </w:r>
    </w:p>
    <w:p>
      <w:pPr>
        <w:pStyle w:val="BodyTextoffice-title"/>
        <w:bidi w:val="0"/>
        <w:spacing w:before="0" w:after="300"/>
        <w:jc w:val="center"/>
        <w:rPr>
          <w:bdr w:val="single" w:sz="12" w:space="8" w:color="000000"/>
        </w:rPr>
      </w:pPr>
      <w:r>
        <w:rPr>
          <w:bdr w:val="single" w:sz="12" w:space="8" w:color="000000"/>
        </w:rPr>
        <w:t>Office of the Chief Executive Officer</w:t>
      </w:r>
    </w:p>
    <w:tbl>
      <w:tblPr>
        <w:tblW w:w="8103" w:type="dxa"/>
        <w:jc w:val="start"/>
        <w:tblInd w:w="0" w:type="dxa"/>
        <w:tblLayout w:type="fixed"/>
        <w:tblCellMar>
          <w:top w:w="28" w:type="dxa"/>
          <w:start w:w="28" w:type="dxa"/>
          <w:bottom w:w="28" w:type="dxa"/>
          <w:end w:w="28" w:type="dxa"/>
        </w:tblCellMar>
      </w:tblPr>
      <w:tblGrid>
        <w:gridCol w:w="2325"/>
        <w:gridCol w:w="5778"/>
      </w:tblGrid>
      <w:tr>
        <w:trPr/>
        <w:tc>
          <w:tcPr>
            <w:tcW w:w="2325" w:type="dxa"/>
            <w:tcBorders/>
            <w:vAlign w:val="center"/>
          </w:tcPr>
          <w:p>
            <w:pPr>
              <w:pStyle w:val="TableContents"/>
              <w:bidi w:val="0"/>
              <w:spacing w:before="0" w:after="283"/>
              <w:ind w:hanging="0" w:start="0" w:end="0"/>
              <w:jc w:val="start"/>
              <w:rPr>
                <w:b/>
              </w:rPr>
            </w:pPr>
            <w:r>
              <w:rPr>
                <w:b/>
              </w:rPr>
              <w:t>Prepared by:</w:t>
            </w:r>
          </w:p>
        </w:tc>
        <w:tc>
          <w:tcPr>
            <w:tcW w:w="5778" w:type="dxa"/>
            <w:tcBorders/>
            <w:vAlign w:val="center"/>
          </w:tcPr>
          <w:p>
            <w:pPr>
              <w:pStyle w:val="TableContents"/>
              <w:bidi w:val="0"/>
              <w:spacing w:before="0" w:after="283"/>
              <w:ind w:hanging="0" w:start="0" w:end="0"/>
              <w:jc w:val="start"/>
              <w:rPr/>
            </w:pPr>
            <w:r>
              <w:rPr/>
              <w:t>Elena Vasquez, Chief Executive Officer</w:t>
              <w:br/>
              <w:t>Meridian Logistics</w:t>
            </w:r>
          </w:p>
        </w:tc>
      </w:tr>
      <w:tr>
        <w:trPr/>
        <w:tc>
          <w:tcPr>
            <w:tcW w:w="2325" w:type="dxa"/>
            <w:tcBorders/>
            <w:vAlign w:val="center"/>
          </w:tcPr>
          <w:p>
            <w:pPr>
              <w:pStyle w:val="TableContents"/>
              <w:bidi w:val="0"/>
              <w:spacing w:before="0" w:after="283"/>
              <w:jc w:val="start"/>
              <w:rPr>
                <w:b/>
              </w:rPr>
            </w:pPr>
            <w:r>
              <w:rPr>
                <w:b/>
              </w:rPr>
              <w:t>Date:</w:t>
            </w:r>
          </w:p>
        </w:tc>
        <w:tc>
          <w:tcPr>
            <w:tcW w:w="5778" w:type="dxa"/>
            <w:tcBorders/>
            <w:vAlign w:val="center"/>
          </w:tcPr>
          <w:p>
            <w:pPr>
              <w:pStyle w:val="TableContents"/>
              <w:bidi w:val="0"/>
              <w:spacing w:before="0" w:after="283"/>
              <w:ind w:hanging="0" w:start="0" w:end="0"/>
              <w:jc w:val="start"/>
              <w:rPr/>
            </w:pPr>
            <w:r>
              <w:rPr/>
              <w:t>October 14, 2026</w:t>
            </w:r>
          </w:p>
        </w:tc>
      </w:tr>
      <w:tr>
        <w:trPr/>
        <w:tc>
          <w:tcPr>
            <w:tcW w:w="2325" w:type="dxa"/>
            <w:tcBorders/>
            <w:vAlign w:val="center"/>
          </w:tcPr>
          <w:p>
            <w:pPr>
              <w:pStyle w:val="TableContents"/>
              <w:bidi w:val="0"/>
              <w:spacing w:before="0" w:after="283"/>
              <w:jc w:val="start"/>
              <w:rPr>
                <w:b/>
              </w:rPr>
            </w:pPr>
            <w:r>
              <w:rPr>
                <w:b/>
              </w:rPr>
              <w:t>To:</w:t>
            </w:r>
          </w:p>
        </w:tc>
        <w:tc>
          <w:tcPr>
            <w:tcW w:w="5778" w:type="dxa"/>
            <w:tcBorders/>
            <w:vAlign w:val="center"/>
          </w:tcPr>
          <w:p>
            <w:pPr>
              <w:pStyle w:val="TableContents"/>
              <w:bidi w:val="0"/>
              <w:spacing w:before="0" w:after="283"/>
              <w:ind w:hanging="0" w:start="0" w:end="0"/>
              <w:jc w:val="start"/>
              <w:rPr/>
            </w:pPr>
            <w:r>
              <w:rPr/>
              <w:t>Vendor Partners</w:t>
            </w:r>
          </w:p>
        </w:tc>
      </w:tr>
      <w:tr>
        <w:trPr/>
        <w:tc>
          <w:tcPr>
            <w:tcW w:w="2325" w:type="dxa"/>
            <w:tcBorders/>
            <w:vAlign w:val="center"/>
          </w:tcPr>
          <w:p>
            <w:pPr>
              <w:pStyle w:val="TableContents"/>
              <w:bidi w:val="0"/>
              <w:spacing w:before="0" w:after="283"/>
              <w:jc w:val="start"/>
              <w:rPr>
                <w:b/>
              </w:rPr>
            </w:pPr>
            <w:r>
              <w:rPr>
                <w:b/>
              </w:rPr>
              <w:t>Subject:</w:t>
            </w:r>
          </w:p>
        </w:tc>
        <w:tc>
          <w:tcPr>
            <w:tcW w:w="5778" w:type="dxa"/>
            <w:tcBorders/>
            <w:vAlign w:val="center"/>
          </w:tcPr>
          <w:p>
            <w:pPr>
              <w:pStyle w:val="TableContents"/>
              <w:bidi w:val="0"/>
              <w:spacing w:before="0" w:after="283"/>
              <w:jc w:val="start"/>
              <w:rPr/>
            </w:pPr>
            <w:r>
              <w:rPr>
                <w:rStyle w:val="Strong"/>
              </w:rPr>
              <w:t>Q4 Vendor Acknowledgment and Compliance Update</w:t>
            </w:r>
          </w:p>
        </w:tc>
      </w:tr>
    </w:tbl>
    <w:p>
      <w:pPr>
        <w:pStyle w:val="BodyTextsalutation"/>
        <w:bidi w:val="0"/>
        <w:jc w:val="start"/>
        <w:rPr/>
      </w:pPr>
      <w:r>
        <w:rPr/>
        <w:t>Dear Partners,</w:t>
      </w:r>
    </w:p>
    <w:p>
      <w:pPr>
        <w:pStyle w:val="BodyText"/>
        <w:bidi w:val="0"/>
        <w:jc w:val="start"/>
        <w:rPr/>
      </w:pPr>
      <w:r>
        <w:rPr/>
        <w:t>This letter confirms Meridian Logistics' acknowledgment of the updated vendor compliance requirements for the fourth quarter. All partner agreements referenced in the attached schedule remain in effect unless otherwise noted in writing by the Chief Executive Officer's office. This notice serves as a formal reminder that adherence to these updated protocols is mandatory for all active vendor relationships during the specified period.</w:t>
      </w:r>
    </w:p>
    <w:p>
      <w:pPr>
        <w:pStyle w:val="BodyText"/>
        <w:bidi w:val="0"/>
        <w:jc w:val="start"/>
        <w:rPr/>
      </w:pPr>
      <w:r>
        <w:rPr/>
        <w:t>Please review the enclosed terms and return a signed acknowledgment by the close of business on October 31, 2026. Timely submission of this acknowledgment is critical to maintaining uninterrupted service levels and billing cycles. Questions regarding this notice may be directed to the Office of the Chief Executive Officer. We appreciate your continued partnership and commitment to operational excellence.</w:t>
      </w:r>
    </w:p>
    <w:p>
      <w:pPr>
        <w:pStyle w:val="BodyText"/>
        <w:keepLines/>
        <w:bidi w:val="0"/>
        <w:spacing w:before="600" w:after="283"/>
        <w:ind w:hanging="0" w:start="0" w:end="0"/>
        <w:jc w:val="start"/>
        <w:rPr/>
      </w:pPr>
      <w:r>
        <w:rPr/>
        <w:t>Respectfully,</w:t>
      </w:r>
    </w:p>
    <w:p>
      <w:pPr>
        <w:pStyle w:val="BodyText"/>
        <w:keepLines/>
        <w:bidi w:val="0"/>
        <w:spacing w:before="600" w:after="283"/>
        <w:jc w:val="start"/>
        <w:rPr/>
      </w:pPr>
      <w:r>
        <w:rPr/>
      </w:r>
    </w:p>
    <w:p>
      <w:pPr>
        <w:pStyle w:val="BodyTextsig-name"/>
        <w:keepLines/>
        <w:bidi w:val="0"/>
        <w:spacing w:before="600" w:after="283"/>
        <w:jc w:val="start"/>
        <w:rPr/>
      </w:pPr>
      <w:r>
        <w:rPr/>
        <w:t>Elena Vasquez</w:t>
      </w:r>
    </w:p>
    <w:p>
      <w:pPr>
        <w:pStyle w:val="BodyText"/>
        <w:keepLines/>
        <w:bidi w:val="0"/>
        <w:spacing w:before="600" w:after="283"/>
        <w:jc w:val="start"/>
        <w:rPr/>
      </w:pPr>
      <w:r>
        <w:rPr/>
        <w:t>Chief Executive Officer</w:t>
      </w:r>
    </w:p>
    <w:p>
      <w:pPr>
        <w:pStyle w:val="BodyText"/>
        <w:keepLines/>
        <w:bidi w:val="0"/>
        <w:spacing w:before="600" w:after="283"/>
        <w:jc w:val="start"/>
        <w:rPr/>
      </w:pPr>
      <w:r>
        <w:rPr/>
        <w:t>Meridian Logistics</w:t>
      </w:r>
    </w:p>
    <w:p>
      <w:pPr>
        <w:pStyle w:val="Heading2appendix-title"/>
        <w:bidi w:val="0"/>
        <w:ind w:hanging="0" w:start="0" w:end="0"/>
        <w:jc w:val="start"/>
        <w:rPr/>
      </w:pPr>
      <w:r>
        <w:rPr/>
        <w:t>Appendix A: Compliance Reference Notes</w:t>
      </w:r>
    </w:p>
    <w:p>
      <w:pPr>
        <w:pStyle w:val="BodyText"/>
        <w:numPr>
          <w:ilvl w:val="0"/>
          <w:numId w:val="1"/>
        </w:numPr>
        <w:pBdr/>
        <w:tabs>
          <w:tab w:val="clear" w:pos="1134"/>
          <w:tab w:val="left" w:pos="709" w:leader="none"/>
        </w:tabs>
        <w:bidi w:val="0"/>
        <w:spacing w:before="0" w:after="0"/>
        <w:ind w:hanging="283" w:start="709" w:end="0"/>
        <w:jc w:val="start"/>
        <w:rPr/>
      </w:pPr>
      <w:r>
        <w:rPr/>
        <w:t xml:space="preserve">All vendor communications must reference the agreement identifier listed in Schedule 1. Failure to include this identifier may result in delayed processing of invoices or service requests. </w:t>
      </w:r>
    </w:p>
    <w:p>
      <w:pPr>
        <w:pStyle w:val="BodyText"/>
        <w:numPr>
          <w:ilvl w:val="0"/>
          <w:numId w:val="1"/>
        </w:numPr>
        <w:pBdr/>
        <w:tabs>
          <w:tab w:val="clear" w:pos="1134"/>
          <w:tab w:val="left" w:pos="2149" w:leader="none"/>
        </w:tabs>
        <w:bidi w:val="0"/>
        <w:spacing w:before="0" w:after="0"/>
        <w:ind w:hanging="283" w:start="2149"/>
        <w:jc w:val="start"/>
        <w:rPr/>
      </w:pPr>
      <w:r>
        <w:rPr/>
        <w:t xml:space="preserve">Acknowledgments must be returned on vendor letterhead or via the secure vendor portal. Electronic signatures are accepted only when generated through the authenticated portal interface. </w:t>
      </w:r>
    </w:p>
    <w:p>
      <w:pPr>
        <w:pStyle w:val="BodyText"/>
        <w:numPr>
          <w:ilvl w:val="0"/>
          <w:numId w:val="1"/>
        </w:numPr>
        <w:pBdr/>
        <w:tabs>
          <w:tab w:val="clear" w:pos="1134"/>
          <w:tab w:val="left" w:pos="2149" w:leader="none"/>
        </w:tabs>
        <w:bidi w:val="0"/>
        <w:spacing w:before="0" w:after="0"/>
        <w:ind w:hanging="283" w:start="2149"/>
        <w:jc w:val="start"/>
        <w:rPr/>
      </w:pPr>
      <w:r>
        <w:rPr/>
        <w:t xml:space="preserve">Amendments require written approval from the Office of the Chief Executive Officer. No verbal agreements or informal emails will be considered valid modifications to the existing terms. </w:t>
      </w:r>
    </w:p>
    <w:p>
      <w:pPr>
        <w:pStyle w:val="BodyText"/>
        <w:numPr>
          <w:ilvl w:val="0"/>
          <w:numId w:val="1"/>
        </w:numPr>
        <w:pBdr/>
        <w:tabs>
          <w:tab w:val="clear" w:pos="1134"/>
          <w:tab w:val="left" w:pos="2149" w:leader="none"/>
        </w:tabs>
        <w:bidi w:val="0"/>
        <w:spacing w:before="0" w:after="0"/>
        <w:ind w:hanging="283" w:start="2149"/>
        <w:jc w:val="start"/>
        <w:rPr/>
      </w:pPr>
      <w:r>
        <w:rPr/>
        <w:t xml:space="preserve">Data handling follows the Meridian Logistics Information Security Policy, section 4.2. Vendors are responsible for ensuring that all personnel accessing Meridian data are bound by non-disclosure agreements consistent with this policy. </w:t>
      </w:r>
    </w:p>
    <w:p>
      <w:pPr>
        <w:pStyle w:val="BodyText"/>
        <w:numPr>
          <w:ilvl w:val="0"/>
          <w:numId w:val="1"/>
        </w:numPr>
        <w:pBdr/>
        <w:tabs>
          <w:tab w:val="clear" w:pos="1134"/>
          <w:tab w:val="left" w:pos="2149" w:leader="none"/>
        </w:tabs>
        <w:bidi w:val="0"/>
        <w:spacing w:before="0" w:after="0"/>
        <w:ind w:hanging="283" w:start="2149"/>
        <w:jc w:val="start"/>
        <w:rPr/>
      </w:pPr>
      <w:r>
        <w:rPr/>
        <w:t xml:space="preserve">Records retention for correspondence of this type is seven years from the date of issuance. Vendors must retain copies of all compliance acknowledgments and related correspondence for the same duration. </w:t>
      </w:r>
    </w:p>
    <w:p>
      <w:pPr>
        <w:pStyle w:val="BodyText"/>
        <w:numPr>
          <w:ilvl w:val="0"/>
          <w:numId w:val="1"/>
        </w:numPr>
        <w:pBdr/>
        <w:tabs>
          <w:tab w:val="clear" w:pos="1134"/>
          <w:tab w:val="left" w:pos="2149" w:leader="none"/>
        </w:tabs>
        <w:bidi w:val="0"/>
        <w:ind w:hanging="283" w:start="2149"/>
        <w:jc w:val="start"/>
        <w:rPr/>
      </w:pPr>
      <w:r>
        <w:rPr/>
        <w:t xml:space="preserve">Distribution of this notice is limited to vendor partners of record. Unauthorized sharing of this document with third parties is strictly prohibited. </w:t>
      </w:r>
    </w:p>
    <w:p>
      <w:pPr>
        <w:pStyle w:val="Heading2appendix-title"/>
        <w:bidi w:val="0"/>
        <w:ind w:hanging="0" w:start="0" w:end="0"/>
        <w:jc w:val="start"/>
        <w:rPr/>
      </w:pPr>
      <w:r>
        <w:rPr/>
        <w:t>Appendix B: Distribution and Handling Record</w:t>
      </w:r>
    </w:p>
    <w:tbl>
      <w:tblPr>
        <w:tblW w:w="8103" w:type="dxa"/>
        <w:jc w:val="start"/>
        <w:tblInd w:w="0" w:type="dxa"/>
        <w:tblLayout w:type="fixed"/>
        <w:tblCellMar>
          <w:top w:w="28" w:type="dxa"/>
          <w:start w:w="28" w:type="dxa"/>
          <w:bottom w:w="28" w:type="dxa"/>
          <w:end w:w="28" w:type="dxa"/>
        </w:tblCellMar>
      </w:tblPr>
      <w:tblGrid>
        <w:gridCol w:w="2356"/>
        <w:gridCol w:w="2626"/>
        <w:gridCol w:w="3121"/>
      </w:tblGrid>
      <w:tr>
        <w:trPr>
          <w:tblHeader w:val="true"/>
        </w:trPr>
        <w:tc>
          <w:tcPr>
            <w:tcW w:w="2356" w:type="dxa"/>
            <w:tcBorders/>
            <w:vAlign w:val="center"/>
          </w:tcPr>
          <w:p>
            <w:pPr>
              <w:pStyle w:val="TableHeading"/>
              <w:suppressLineNumbers/>
              <w:bidi w:val="0"/>
              <w:spacing w:before="0" w:after="283"/>
              <w:jc w:val="center"/>
              <w:rPr/>
            </w:pPr>
            <w:r>
              <w:rPr/>
              <w:t>Copy Number</w:t>
            </w:r>
          </w:p>
        </w:tc>
        <w:tc>
          <w:tcPr>
            <w:tcW w:w="2626" w:type="dxa"/>
            <w:tcBorders/>
            <w:vAlign w:val="center"/>
          </w:tcPr>
          <w:p>
            <w:pPr>
              <w:pStyle w:val="TableHeading"/>
              <w:suppressLineNumbers/>
              <w:bidi w:val="0"/>
              <w:spacing w:before="0" w:after="283"/>
              <w:jc w:val="center"/>
              <w:rPr/>
            </w:pPr>
            <w:r>
              <w:rPr/>
              <w:t>Recipient / Location</w:t>
            </w:r>
          </w:p>
        </w:tc>
        <w:tc>
          <w:tcPr>
            <w:tcW w:w="3121" w:type="dxa"/>
            <w:tcBorders/>
            <w:vAlign w:val="center"/>
          </w:tcPr>
          <w:p>
            <w:pPr>
              <w:pStyle w:val="TableHeading"/>
              <w:suppressLineNumbers/>
              <w:bidi w:val="0"/>
              <w:spacing w:before="0" w:after="283"/>
              <w:jc w:val="center"/>
              <w:rPr/>
            </w:pPr>
            <w:r>
              <w:rPr/>
              <w:t>Purpose</w:t>
            </w:r>
          </w:p>
        </w:tc>
      </w:tr>
      <w:tr>
        <w:trPr/>
        <w:tc>
          <w:tcPr>
            <w:tcW w:w="2356" w:type="dxa"/>
            <w:tcBorders/>
            <w:vAlign w:val="center"/>
          </w:tcPr>
          <w:p>
            <w:pPr>
              <w:pStyle w:val="TableContents"/>
              <w:bidi w:val="0"/>
              <w:spacing w:before="0" w:after="283"/>
              <w:jc w:val="start"/>
              <w:rPr/>
            </w:pPr>
            <w:r>
              <w:rPr/>
              <w:t>Copy 1</w:t>
            </w:r>
          </w:p>
        </w:tc>
        <w:tc>
          <w:tcPr>
            <w:tcW w:w="2626" w:type="dxa"/>
            <w:tcBorders/>
            <w:vAlign w:val="center"/>
          </w:tcPr>
          <w:p>
            <w:pPr>
              <w:pStyle w:val="TableContents"/>
              <w:bidi w:val="0"/>
              <w:spacing w:before="0" w:after="283"/>
              <w:jc w:val="start"/>
              <w:rPr/>
            </w:pPr>
            <w:r>
              <w:rPr/>
              <w:t>Vendor Partners of Record</w:t>
            </w:r>
          </w:p>
        </w:tc>
        <w:tc>
          <w:tcPr>
            <w:tcW w:w="3121" w:type="dxa"/>
            <w:tcBorders/>
            <w:vAlign w:val="center"/>
          </w:tcPr>
          <w:p>
            <w:pPr>
              <w:pStyle w:val="TableContents"/>
              <w:bidi w:val="0"/>
              <w:spacing w:before="0" w:after="283"/>
              <w:jc w:val="start"/>
              <w:rPr/>
            </w:pPr>
            <w:r>
              <w:rPr/>
              <w:t>Primary distribution for review and acknowledgment</w:t>
            </w:r>
          </w:p>
        </w:tc>
      </w:tr>
      <w:tr>
        <w:trPr/>
        <w:tc>
          <w:tcPr>
            <w:tcW w:w="2356" w:type="dxa"/>
            <w:tcBorders/>
            <w:vAlign w:val="center"/>
          </w:tcPr>
          <w:p>
            <w:pPr>
              <w:pStyle w:val="TableContents"/>
              <w:bidi w:val="0"/>
              <w:spacing w:before="0" w:after="283"/>
              <w:jc w:val="start"/>
              <w:rPr/>
            </w:pPr>
            <w:r>
              <w:rPr/>
              <w:t>Copy 2</w:t>
            </w:r>
          </w:p>
        </w:tc>
        <w:tc>
          <w:tcPr>
            <w:tcW w:w="2626" w:type="dxa"/>
            <w:tcBorders/>
            <w:vAlign w:val="center"/>
          </w:tcPr>
          <w:p>
            <w:pPr>
              <w:pStyle w:val="TableContents"/>
              <w:bidi w:val="0"/>
              <w:spacing w:before="0" w:after="283"/>
              <w:jc w:val="start"/>
              <w:rPr/>
            </w:pPr>
            <w:r>
              <w:rPr/>
              <w:t>Office of the Chief Executive Officer — file</w:t>
            </w:r>
          </w:p>
        </w:tc>
        <w:tc>
          <w:tcPr>
            <w:tcW w:w="3121" w:type="dxa"/>
            <w:tcBorders/>
            <w:vAlign w:val="center"/>
          </w:tcPr>
          <w:p>
            <w:pPr>
              <w:pStyle w:val="TableContents"/>
              <w:bidi w:val="0"/>
              <w:spacing w:before="0" w:after="283"/>
              <w:jc w:val="start"/>
              <w:rPr/>
            </w:pPr>
            <w:r>
              <w:rPr/>
              <w:t>Executive record and internal filing</w:t>
            </w:r>
          </w:p>
        </w:tc>
      </w:tr>
      <w:tr>
        <w:trPr/>
        <w:tc>
          <w:tcPr>
            <w:tcW w:w="2356" w:type="dxa"/>
            <w:tcBorders/>
            <w:vAlign w:val="center"/>
          </w:tcPr>
          <w:p>
            <w:pPr>
              <w:pStyle w:val="TableContents"/>
              <w:bidi w:val="0"/>
              <w:spacing w:before="0" w:after="283"/>
              <w:jc w:val="start"/>
              <w:rPr/>
            </w:pPr>
            <w:r>
              <w:rPr/>
              <w:t>Copy 3</w:t>
            </w:r>
          </w:p>
        </w:tc>
        <w:tc>
          <w:tcPr>
            <w:tcW w:w="2626" w:type="dxa"/>
            <w:tcBorders/>
            <w:vAlign w:val="center"/>
          </w:tcPr>
          <w:p>
            <w:pPr>
              <w:pStyle w:val="TableContents"/>
              <w:bidi w:val="0"/>
              <w:spacing w:before="0" w:after="283"/>
              <w:jc w:val="start"/>
              <w:rPr/>
            </w:pPr>
            <w:r>
              <w:rPr/>
              <w:t>Compliance Archive</w:t>
            </w:r>
          </w:p>
        </w:tc>
        <w:tc>
          <w:tcPr>
            <w:tcW w:w="3121" w:type="dxa"/>
            <w:tcBorders/>
            <w:vAlign w:val="center"/>
          </w:tcPr>
          <w:p>
            <w:pPr>
              <w:pStyle w:val="TableContents"/>
              <w:bidi w:val="0"/>
              <w:spacing w:before="0" w:after="283"/>
              <w:jc w:val="start"/>
              <w:rPr/>
            </w:pPr>
            <w:r>
              <w:rPr/>
              <w:t>Long-term regulatory and audit retention</w:t>
            </w:r>
          </w:p>
        </w:tc>
      </w:tr>
    </w:tbl>
    <w:p>
      <w:pPr>
        <w:pStyle w:val="BodyText"/>
        <w:keepLines/>
        <w:bidi w:val="0"/>
        <w:spacing w:before="600" w:after="283"/>
        <w:ind w:hanging="0" w:start="0" w:end="0"/>
        <w:jc w:val="both"/>
        <w:rPr>
          <w:sz w:val="18"/>
          <w:bdr w:val="single" w:sz="2" w:space="11" w:color="000000"/>
        </w:rPr>
      </w:pPr>
      <w:r>
        <w:rPr>
          <w:sz w:val="18"/>
          <w:bdr w:val="single" w:sz="2" w:space="11" w:color="000000"/>
        </w:rPr>
        <w:t>This document contains proprietary correspondence of Meridian Logistics. The letterhead, signature block, and branding elements are registered assets of the company and may not be reproduced, altered, or used to represent the company or its officers without explicit written authorization from the Office of the Chief Executive Officer.</w:t>
      </w:r>
    </w:p>
    <w:p>
      <w:pPr>
        <w:pStyle w:val="BodyTextcopyright-line"/>
        <w:bidi w:val="0"/>
        <w:spacing w:before="150" w:after="283"/>
        <w:rPr/>
      </w:pPr>
      <w:r>
        <w:rPr/>
        <w:t>© 2026 Meridian Logistics. Internal circulation only — reproduction, alteration, or redistribution of the letterhead or signature is prohibited.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before="1440" w:after="1440"/>
      <w:ind w:start="1440" w:end="1440"/>
    </w:pPr>
    <w:rPr>
      <w:rFonts w:ascii="Times New Roman;Times;serif" w:hAnsi="Times New Roman;Times;serif" w:eastAsia="Times New Roman;Times;serif" w:cs="Times New Roman;Times;serif"/>
      <w:color w:val="000000"/>
      <w:sz w:val="22"/>
      <w:szCs w:val="22"/>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ompany-name">
    <w:name w:val="Body Text.company-name"/>
    <w:basedOn w:val="BodyText"/>
    <w:qFormat/>
    <w:pPr/>
    <w:rPr>
      <w:b/>
      <w:bCs/>
      <w:spacing w:val="30"/>
      <w:sz w:val="48"/>
      <w:szCs w:val="48"/>
    </w:rPr>
  </w:style>
  <w:style w:type="paragraph" w:styleId="BodyTextoffice-title">
    <w:name w:val="Body Text.office-title"/>
    <w:basedOn w:val="BodyText"/>
    <w:qFormat/>
    <w:pPr>
      <w:spacing w:before="75" w:after="75"/>
      <w:ind w:start="75" w:end="75"/>
    </w:pPr>
    <w:rPr>
      <w:i/>
      <w:iCs/>
      <w:sz w:val="24"/>
      <w:szCs w:val="24"/>
    </w:rPr>
  </w:style>
  <w:style w:type="paragraph" w:styleId="TableHeading">
    <w:name w:val="Table Heading"/>
    <w:basedOn w:val="TableContents"/>
    <w:qFormat/>
    <w:pPr>
      <w:suppressLineNumbers/>
      <w:jc w:val="center"/>
    </w:pPr>
    <w:rPr>
      <w:b/>
      <w:bCs/>
    </w:rPr>
  </w:style>
  <w:style w:type="paragraph" w:styleId="BodyTextsalutation">
    <w:name w:val="Body Text.salutation"/>
    <w:basedOn w:val="BodyText"/>
    <w:qFormat/>
    <w:pPr>
      <w:spacing w:before="300" w:after="225"/>
    </w:pPr>
    <w:rPr/>
  </w:style>
  <w:style w:type="paragraph" w:styleId="BodyTextsig-name">
    <w:name w:val="Body Text.sig-name"/>
    <w:basedOn w:val="BodyText"/>
    <w:qFormat/>
    <w:pPr/>
    <w:rPr>
      <w:b/>
      <w:bCs/>
    </w:rPr>
  </w:style>
  <w:style w:type="paragraph" w:styleId="Heading2appendix-title">
    <w:name w:val="Heading 2.appendix-title"/>
    <w:basedOn w:val="Heading2"/>
    <w:qFormat/>
    <w:pPr>
      <w:pBdr>
        <w:bottom w:val="single" w:sz="2" w:space="4" w:color="000000"/>
      </w:pBdr>
      <w:spacing w:before="200" w:after="225"/>
      <w:ind w:hanging="0" w:start="1440"/>
      <w:outlineLvl w:val="9"/>
    </w:pPr>
    <w:rPr>
      <w:b/>
      <w:bCs/>
      <w:sz w:val="28"/>
      <w:szCs w:val="28"/>
    </w:rPr>
  </w:style>
  <w:style w:type="paragraph" w:styleId="BodyTextcopyright-line">
    <w:name w:val="Body Text.copyright-line"/>
    <w:basedOn w:val="BodyText"/>
    <w:qFormat/>
    <w:pPr>
      <w:spacing w:before="150" w:after="283"/>
      <w:jc w:val="center"/>
    </w:pPr>
    <w:rPr>
      <w:i/>
      <w:i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Meridian Logistics - Q4 Vendor Acknowledgment and Compliance Update</dc:title>
</cp:coreProperties>
</file>

<file path=docProps/custom.xml><?xml version="1.0" encoding="utf-8"?>
<Properties xmlns="http://schemas.openxmlformats.org/officeDocument/2006/custom-properties" xmlns:vt="http://schemas.openxmlformats.org/officeDocument/2006/docPropsVTypes"/>
</file>