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450"/>
        <w:ind w:hanging="0" w:start="0" w:end="0"/>
        <w:jc w:val="start"/>
        <w:rPr/>
      </w:pPr>
      <w:r>
        <w:rPr/>
        <w:t>Vendor Due Diligence Briefing</w:t>
      </w:r>
    </w:p>
    <w:p>
      <w:pPr>
        <w:pStyle w:val="BodyText"/>
        <w:bidi w:val="0"/>
        <w:spacing w:before="0" w:after="450"/>
        <w:rPr/>
      </w:pPr>
      <w:r>
        <w:rPr>
          <w:rStyle w:val="Strong"/>
        </w:rPr>
        <w:t>Prepared by:</w:t>
      </w:r>
      <w:r>
        <w:rPr/>
        <w:t xml:space="preserve"> Procurement Operations</w:t>
        <w:br/>
      </w:r>
      <w:r>
        <w:rPr>
          <w:rStyle w:val="Strong"/>
        </w:rPr>
        <w:t>Date:</w:t>
      </w:r>
      <w:r>
        <w:rPr/>
        <w:t xml:space="preserve"> March 14, 2026</w:t>
        <w:br/>
      </w:r>
      <w:r>
        <w:rPr>
          <w:rStyle w:val="Strong"/>
        </w:rPr>
        <w:t>Document ID:</w:t>
      </w:r>
      <w:r>
        <w:rPr/>
        <w:t xml:space="preserve"> VDD-2026-0147-BRIEF</w:t>
      </w:r>
    </w:p>
    <w:p>
      <w:pPr>
        <w:pStyle w:val="Heading2"/>
        <w:bidi w:val="0"/>
        <w:jc w:val="start"/>
        <w:rPr/>
      </w:pPr>
      <w:r>
        <w:rPr/>
        <w:t>1. Purpose</w:t>
      </w:r>
    </w:p>
    <w:p>
      <w:pPr>
        <w:pStyle w:val="BodyText"/>
        <w:bidi w:val="0"/>
        <w:rPr/>
      </w:pPr>
      <w:r>
        <w:rPr/>
        <w:t>This briefing summarizes the vendor due-diligence findings for the current procurement cycle. It is intended to support the internal compliance review and should be used only for evaluation purposes. The primary objective of this document is to provide a consolidated view of the vendor’s operational stability, legal standing, and adherence to internal procurement standards. This assessment serves as the foundational record for the compliance team’s decision-making process regarding the continuation of the vendor relationship.</w:t>
      </w:r>
    </w:p>
    <w:p>
      <w:pPr>
        <w:pStyle w:val="Heading2"/>
        <w:bidi w:val="0"/>
        <w:jc w:val="start"/>
        <w:rPr/>
      </w:pPr>
      <w:r>
        <w:rPr/>
        <w:t>2. Vendor Identification</w:t>
      </w:r>
    </w:p>
    <w:tbl>
      <w:tblPr>
        <w:tblW w:w="7054" w:type="dxa"/>
        <w:jc w:val="start"/>
        <w:tblInd w:w="0" w:type="dxa"/>
        <w:tblLayout w:type="fixed"/>
        <w:tblCellMar>
          <w:top w:w="28" w:type="dxa"/>
          <w:start w:w="28" w:type="dxa"/>
          <w:bottom w:w="28" w:type="dxa"/>
          <w:end w:w="28" w:type="dxa"/>
        </w:tblCellMar>
      </w:tblPr>
      <w:tblGrid>
        <w:gridCol w:w="2668"/>
        <w:gridCol w:w="4386"/>
      </w:tblGrid>
      <w:tr>
        <w:trPr/>
        <w:tc>
          <w:tcPr>
            <w:tcW w:w="2668" w:type="dxa"/>
            <w:tcBorders/>
            <w:vAlign w:val="center"/>
          </w:tcPr>
          <w:p>
            <w:pPr>
              <w:pStyle w:val="TableHeading"/>
              <w:suppressLineNumbers/>
              <w:shd w:fill="F2F2F2" w:val="clear"/>
              <w:bidi w:val="0"/>
              <w:spacing w:before="0" w:after="180"/>
              <w:jc w:val="start"/>
              <w:rPr/>
            </w:pPr>
            <w:r>
              <w:rPr/>
              <w:t>Vendor Name</w:t>
            </w:r>
          </w:p>
        </w:tc>
        <w:tc>
          <w:tcPr>
            <w:tcW w:w="4386" w:type="dxa"/>
            <w:tcBorders/>
            <w:vAlign w:val="center"/>
          </w:tcPr>
          <w:p>
            <w:pPr>
              <w:pStyle w:val="TableContents"/>
              <w:bidi w:val="0"/>
              <w:spacing w:before="0" w:after="180"/>
              <w:jc w:val="start"/>
              <w:rPr/>
            </w:pPr>
            <w:r>
              <w:rPr/>
              <w:t>Meridian Office Supplies</w:t>
            </w:r>
          </w:p>
        </w:tc>
      </w:tr>
      <w:tr>
        <w:trPr/>
        <w:tc>
          <w:tcPr>
            <w:tcW w:w="2668" w:type="dxa"/>
            <w:tcBorders/>
            <w:vAlign w:val="center"/>
          </w:tcPr>
          <w:p>
            <w:pPr>
              <w:pStyle w:val="TableHeading"/>
              <w:suppressLineNumbers/>
              <w:shd w:fill="F2F2F2" w:val="clear"/>
              <w:bidi w:val="0"/>
              <w:spacing w:before="0" w:after="180"/>
              <w:jc w:val="start"/>
              <w:rPr/>
            </w:pPr>
            <w:r>
              <w:rPr/>
              <w:t>Vendor ID</w:t>
            </w:r>
          </w:p>
        </w:tc>
        <w:tc>
          <w:tcPr>
            <w:tcW w:w="4386" w:type="dxa"/>
            <w:tcBorders/>
            <w:vAlign w:val="center"/>
          </w:tcPr>
          <w:p>
            <w:pPr>
              <w:pStyle w:val="TableContents"/>
              <w:bidi w:val="0"/>
              <w:spacing w:before="0" w:after="180"/>
              <w:jc w:val="start"/>
              <w:rPr/>
            </w:pPr>
            <w:r>
              <w:rPr/>
              <w:t>V-2026-0147</w:t>
            </w:r>
          </w:p>
        </w:tc>
      </w:tr>
      <w:tr>
        <w:trPr/>
        <w:tc>
          <w:tcPr>
            <w:tcW w:w="2668" w:type="dxa"/>
            <w:tcBorders/>
            <w:vAlign w:val="center"/>
          </w:tcPr>
          <w:p>
            <w:pPr>
              <w:pStyle w:val="TableHeading"/>
              <w:suppressLineNumbers/>
              <w:shd w:fill="F2F2F2" w:val="clear"/>
              <w:bidi w:val="0"/>
              <w:spacing w:before="0" w:after="180"/>
              <w:jc w:val="start"/>
              <w:rPr/>
            </w:pPr>
            <w:r>
              <w:rPr/>
              <w:t>Primary Contact</w:t>
            </w:r>
          </w:p>
        </w:tc>
        <w:tc>
          <w:tcPr>
            <w:tcW w:w="4386" w:type="dxa"/>
            <w:tcBorders/>
            <w:vAlign w:val="center"/>
          </w:tcPr>
          <w:p>
            <w:pPr>
              <w:pStyle w:val="TableContents"/>
              <w:bidi w:val="0"/>
              <w:spacing w:before="0" w:after="180"/>
              <w:jc w:val="start"/>
              <w:rPr/>
            </w:pPr>
            <w:r>
              <w:rPr/>
              <w:t>Procurement Liaison</w:t>
            </w:r>
          </w:p>
        </w:tc>
      </w:tr>
      <w:tr>
        <w:trPr/>
        <w:tc>
          <w:tcPr>
            <w:tcW w:w="2668" w:type="dxa"/>
            <w:tcBorders/>
            <w:vAlign w:val="center"/>
          </w:tcPr>
          <w:p>
            <w:pPr>
              <w:pStyle w:val="TableHeading"/>
              <w:suppressLineNumbers/>
              <w:shd w:fill="F2F2F2" w:val="clear"/>
              <w:bidi w:val="0"/>
              <w:spacing w:before="0" w:after="180"/>
              <w:jc w:val="start"/>
              <w:rPr/>
            </w:pPr>
            <w:r>
              <w:rPr/>
              <w:t>Category</w:t>
            </w:r>
          </w:p>
        </w:tc>
        <w:tc>
          <w:tcPr>
            <w:tcW w:w="4386" w:type="dxa"/>
            <w:tcBorders/>
            <w:vAlign w:val="center"/>
          </w:tcPr>
          <w:p>
            <w:pPr>
              <w:pStyle w:val="TableContents"/>
              <w:bidi w:val="0"/>
              <w:spacing w:before="0" w:after="180"/>
              <w:jc w:val="start"/>
              <w:rPr/>
            </w:pPr>
            <w:r>
              <w:rPr/>
              <w:t>General Office Supplies &amp; Consumables</w:t>
            </w:r>
          </w:p>
        </w:tc>
      </w:tr>
      <w:tr>
        <w:trPr/>
        <w:tc>
          <w:tcPr>
            <w:tcW w:w="2668" w:type="dxa"/>
            <w:tcBorders/>
            <w:vAlign w:val="center"/>
          </w:tcPr>
          <w:p>
            <w:pPr>
              <w:pStyle w:val="TableHeading"/>
              <w:suppressLineNumbers/>
              <w:shd w:fill="F2F2F2" w:val="clear"/>
              <w:bidi w:val="0"/>
              <w:spacing w:before="0" w:after="180"/>
              <w:jc w:val="start"/>
              <w:rPr/>
            </w:pPr>
            <w:r>
              <w:rPr/>
              <w:t>Contract Reference</w:t>
            </w:r>
          </w:p>
        </w:tc>
        <w:tc>
          <w:tcPr>
            <w:tcW w:w="4386" w:type="dxa"/>
            <w:tcBorders/>
            <w:vAlign w:val="center"/>
          </w:tcPr>
          <w:p>
            <w:pPr>
              <w:pStyle w:val="TableContents"/>
              <w:bidi w:val="0"/>
              <w:spacing w:before="0" w:after="180"/>
              <w:jc w:val="start"/>
              <w:rPr/>
            </w:pPr>
            <w:r>
              <w:rPr/>
              <w:t>PO-2026-MS-889</w:t>
            </w:r>
          </w:p>
        </w:tc>
      </w:tr>
    </w:tbl>
    <w:p>
      <w:pPr>
        <w:pStyle w:val="Heading2"/>
        <w:bidi w:val="0"/>
        <w:jc w:val="start"/>
        <w:rPr/>
      </w:pPr>
      <w:r>
        <w:rPr/>
        <w:t>3. Scope of Review</w:t>
      </w:r>
    </w:p>
    <w:p>
      <w:pPr>
        <w:pStyle w:val="BodyText"/>
        <w:bidi w:val="0"/>
        <w:rPr/>
      </w:pPr>
      <w:r>
        <w:rPr/>
        <w:t>The review covers business registration, insurance status, delivery performance, and historical compliance records. All information in this document reflects the findings available as of the review date. The scope was defined in accordance with the Standard Operating Procedure for Third-Party Risk Assessment (SOP-PROC-04). The review period encompasses the last twelve months of operational data, with a specific focus on the most recent two quarters for performance metrics.</w:t>
      </w:r>
    </w:p>
    <w:p>
      <w:pPr>
        <w:pStyle w:val="Heading2"/>
        <w:bidi w:val="0"/>
        <w:jc w:val="start"/>
        <w:rPr/>
      </w:pPr>
      <w:r>
        <w:rPr/>
        <w:t>4. Business Registration Findings</w:t>
      </w:r>
    </w:p>
    <w:p>
      <w:pPr>
        <w:pStyle w:val="BodyText"/>
        <w:bidi w:val="0"/>
        <w:rPr/>
      </w:pPr>
      <w:r>
        <w:rPr/>
        <w:t>The vendor is registered for business operations and maintains current registration documentation. No unresolved registration issues were identified during the review period. Verification of the vendor’s legal entity status was performed against the state business registry, confirming that the entity is in good standing. The Certificate of Good Standing provided by the vendor is valid through the end of the current fiscal year.</w:t>
      </w:r>
    </w:p>
    <w:p>
      <w:pPr>
        <w:pStyle w:val="Heading2"/>
        <w:bidi w:val="0"/>
        <w:jc w:val="start"/>
        <w:rPr/>
      </w:pPr>
      <w:r>
        <w:rPr/>
        <w:t>5. Insurance Status</w:t>
      </w:r>
    </w:p>
    <w:p>
      <w:pPr>
        <w:pStyle w:val="BodyText"/>
        <w:bidi w:val="0"/>
        <w:rPr/>
      </w:pPr>
      <w:r>
        <w:rPr/>
        <w:t>The vendor provided proof of commercial general liability insurance. Coverage limits meet the minimum threshold required for this procurement category. Specifically, the vendor maintains a general liability policy with a limit of $2,000,000 per occurrence and $4,000,000 in the aggregate. This exceeds the internal requirement of $1,000,000 per occurrence for vendors in this category. The certificate of insurance is current and lists the firm as an additional insured party where applicable.</w:t>
      </w:r>
    </w:p>
    <w:p>
      <w:pPr>
        <w:pStyle w:val="Heading2"/>
        <w:bidi w:val="0"/>
        <w:jc w:val="start"/>
        <w:rPr/>
      </w:pPr>
      <w:r>
        <w:rPr/>
        <w:t>6. Delivery Performance</w:t>
      </w:r>
    </w:p>
    <w:p>
      <w:pPr>
        <w:pStyle w:val="BodyText"/>
        <w:bidi w:val="0"/>
        <w:rPr/>
      </w:pPr>
      <w:r>
        <w:rPr/>
        <w:t>Delivery performance for the last two quarters was within acceptable limits. Minor delays were recorded in one delivery window and were resolved with the vendor. The on-time delivery rate for the period was 94.5%, which is above the internal target of 90%. The single instance of delay was attributed to a regional logistics disruption and was communicated proactively by the vendor. No financial penalties were assessed for this incident due to the vendor’s cooperative resolution approach.</w:t>
      </w:r>
    </w:p>
    <w:p>
      <w:pPr>
        <w:pStyle w:val="Heading2"/>
        <w:bidi w:val="0"/>
        <w:jc w:val="start"/>
        <w:rPr/>
      </w:pPr>
      <w:r>
        <w:rPr/>
        <w:t>7. Historical Compliance Records</w:t>
      </w:r>
    </w:p>
    <w:p>
      <w:pPr>
        <w:pStyle w:val="BodyText"/>
        <w:bidi w:val="0"/>
        <w:rPr/>
      </w:pPr>
      <w:r>
        <w:rPr/>
        <w:t>The vendor has no outstanding compliance exceptions recorded in the current period. Past findings were addressed and closed in accordance with internal procedure. A review of the vendor’s audit history from the previous three years shows a consistent record of compliance with safety, environmental, and ethical sourcing guidelines. No regulatory fines or legal actions were noted in public records during the review period.</w:t>
      </w:r>
    </w:p>
    <w:p>
      <w:pPr>
        <w:pStyle w:val="Heading2"/>
        <w:bidi w:val="0"/>
        <w:jc w:val="start"/>
        <w:rPr/>
      </w:pPr>
      <w:r>
        <w:rPr/>
        <w:t>8. Risk Observations</w:t>
      </w:r>
    </w:p>
    <w:p>
      <w:pPr>
        <w:pStyle w:val="BodyText"/>
        <w:bidi w:val="0"/>
        <w:rPr/>
      </w:pPr>
      <w:r>
        <w:rPr/>
        <w:t xml:space="preserve">The vendor shows normal operational risk. No elevated risk indicators were found in the areas reviewed. Routine monitoring is recommended for the next review cycle. The financial stability of the vendor appears consistent with industry peers, and there are no signs of supply chain concentration risk that would jeopardize continuity of supply. The overall risk rating for this vendor remains </w:t>
      </w:r>
      <w:r>
        <w:rPr>
          <w:rStyle w:val="Strong"/>
        </w:rPr>
        <w:t>Low</w:t>
      </w:r>
      <w:r>
        <w:rPr/>
        <w:t>.</w:t>
      </w:r>
    </w:p>
    <w:p>
      <w:pPr>
        <w:pStyle w:val="Heading2"/>
        <w:bidi w:val="0"/>
        <w:jc w:val="start"/>
        <w:rPr/>
      </w:pPr>
      <w:r>
        <w:rPr/>
        <w:t>9. Recommended Actions</w:t>
      </w:r>
    </w:p>
    <w:p>
      <w:pPr>
        <w:pStyle w:val="BodyText"/>
        <w:numPr>
          <w:ilvl w:val="0"/>
          <w:numId w:val="1"/>
        </w:numPr>
        <w:tabs>
          <w:tab w:val="clear" w:pos="1134"/>
          <w:tab w:val="left" w:pos="1309" w:leader="none"/>
        </w:tabs>
        <w:bidi w:val="0"/>
        <w:spacing w:before="0" w:after="0"/>
        <w:ind w:hanging="283" w:start="1309"/>
        <w:rPr/>
      </w:pPr>
      <w:r>
        <w:rPr/>
        <w:t xml:space="preserve">Continue standard vendor monitoring. </w:t>
      </w:r>
    </w:p>
    <w:p>
      <w:pPr>
        <w:pStyle w:val="BodyText"/>
        <w:numPr>
          <w:ilvl w:val="0"/>
          <w:numId w:val="1"/>
        </w:numPr>
        <w:tabs>
          <w:tab w:val="clear" w:pos="1134"/>
          <w:tab w:val="left" w:pos="1309" w:leader="none"/>
        </w:tabs>
        <w:bidi w:val="0"/>
        <w:spacing w:before="0" w:after="0"/>
        <w:ind w:hanging="283" w:start="1309"/>
        <w:rPr/>
      </w:pPr>
      <w:r>
        <w:rPr/>
        <w:t xml:space="preserve">Schedule the next periodic review. </w:t>
      </w:r>
    </w:p>
    <w:p>
      <w:pPr>
        <w:pStyle w:val="BodyText"/>
        <w:numPr>
          <w:ilvl w:val="0"/>
          <w:numId w:val="1"/>
        </w:numPr>
        <w:tabs>
          <w:tab w:val="clear" w:pos="1134"/>
          <w:tab w:val="left" w:pos="1309" w:leader="none"/>
        </w:tabs>
        <w:bidi w:val="0"/>
        <w:spacing w:before="0" w:after="0"/>
        <w:ind w:hanging="283" w:start="1309"/>
        <w:rPr/>
      </w:pPr>
      <w:r>
        <w:rPr/>
        <w:t xml:space="preserve">Retain this briefing with the vendor file. </w:t>
      </w:r>
    </w:p>
    <w:p>
      <w:pPr>
        <w:pStyle w:val="BodyText"/>
        <w:numPr>
          <w:ilvl w:val="0"/>
          <w:numId w:val="1"/>
        </w:numPr>
        <w:tabs>
          <w:tab w:val="clear" w:pos="1134"/>
          <w:tab w:val="left" w:pos="1309" w:leader="none"/>
        </w:tabs>
        <w:bidi w:val="0"/>
        <w:ind w:hanging="283" w:start="1309"/>
        <w:rPr/>
      </w:pPr>
      <w:r>
        <w:rPr/>
        <w:t xml:space="preserve">Update the vendor master data with the latest insurance certificate expiration date. </w:t>
      </w:r>
    </w:p>
    <w:p>
      <w:pPr>
        <w:pStyle w:val="Heading2"/>
        <w:bidi w:val="0"/>
        <w:jc w:val="start"/>
        <w:rPr/>
      </w:pPr>
      <w:r>
        <w:rPr/>
        <w:t>10. Review Notes</w:t>
      </w:r>
    </w:p>
    <w:p>
      <w:pPr>
        <w:pStyle w:val="BodyText"/>
        <w:bidi w:val="0"/>
        <w:rPr/>
      </w:pPr>
      <w:r>
        <w:rPr/>
        <w:t>This document is part of the internal due-diligence record. It should remain within the review workflow and not be treated as a final external communication. Any questions regarding the findings should be directed to the Procurement Operations team. The next scheduled review is expected to take place in Q3 2026, pending any material changes in the vendor’s status.</w:t>
      </w:r>
    </w:p>
    <w:p>
      <w:pPr>
        <w:pStyle w:val="Heading2"/>
        <w:bidi w:val="0"/>
        <w:jc w:val="start"/>
        <w:rPr/>
      </w:pPr>
      <w:r>
        <w:rPr/>
        <w:t>11. Document Control</w:t>
      </w:r>
    </w:p>
    <w:tbl>
      <w:tblPr>
        <w:tblW w:w="5567" w:type="dxa"/>
        <w:jc w:val="start"/>
        <w:tblInd w:w="0" w:type="dxa"/>
        <w:tblLayout w:type="fixed"/>
        <w:tblCellMar>
          <w:top w:w="28" w:type="dxa"/>
          <w:start w:w="28" w:type="dxa"/>
          <w:bottom w:w="28" w:type="dxa"/>
          <w:end w:w="28" w:type="dxa"/>
        </w:tblCellMar>
      </w:tblPr>
      <w:tblGrid>
        <w:gridCol w:w="2221"/>
        <w:gridCol w:w="3346"/>
      </w:tblGrid>
      <w:tr>
        <w:trPr/>
        <w:tc>
          <w:tcPr>
            <w:tcW w:w="2221" w:type="dxa"/>
            <w:tcBorders/>
            <w:vAlign w:val="center"/>
          </w:tcPr>
          <w:p>
            <w:pPr>
              <w:pStyle w:val="TableHeading"/>
              <w:suppressLineNumbers/>
              <w:shd w:fill="F2F2F2" w:val="clear"/>
              <w:bidi w:val="0"/>
              <w:spacing w:before="0" w:after="180"/>
              <w:jc w:val="start"/>
              <w:rPr/>
            </w:pPr>
            <w:r>
              <w:rPr/>
              <w:t>Version</w:t>
            </w:r>
          </w:p>
        </w:tc>
        <w:tc>
          <w:tcPr>
            <w:tcW w:w="3346" w:type="dxa"/>
            <w:tcBorders/>
            <w:vAlign w:val="center"/>
          </w:tcPr>
          <w:p>
            <w:pPr>
              <w:pStyle w:val="TableContents"/>
              <w:bidi w:val="0"/>
              <w:spacing w:before="0" w:after="180"/>
              <w:jc w:val="start"/>
              <w:rPr/>
            </w:pPr>
            <w:r>
              <w:rPr/>
              <w:t>1.0</w:t>
            </w:r>
          </w:p>
        </w:tc>
      </w:tr>
      <w:tr>
        <w:trPr/>
        <w:tc>
          <w:tcPr>
            <w:tcW w:w="2221" w:type="dxa"/>
            <w:tcBorders/>
            <w:vAlign w:val="center"/>
          </w:tcPr>
          <w:p>
            <w:pPr>
              <w:pStyle w:val="TableHeading"/>
              <w:suppressLineNumbers/>
              <w:shd w:fill="F2F2F2" w:val="clear"/>
              <w:bidi w:val="0"/>
              <w:spacing w:before="0" w:after="180"/>
              <w:jc w:val="start"/>
              <w:rPr/>
            </w:pPr>
            <w:r>
              <w:rPr/>
              <w:t>Status</w:t>
            </w:r>
          </w:p>
        </w:tc>
        <w:tc>
          <w:tcPr>
            <w:tcW w:w="3346" w:type="dxa"/>
            <w:tcBorders/>
            <w:vAlign w:val="center"/>
          </w:tcPr>
          <w:p>
            <w:pPr>
              <w:pStyle w:val="TableContents"/>
              <w:bidi w:val="0"/>
              <w:spacing w:before="0" w:after="180"/>
              <w:jc w:val="start"/>
              <w:rPr/>
            </w:pPr>
            <w:r>
              <w:rPr/>
              <w:t>Internal working copy</w:t>
            </w:r>
          </w:p>
        </w:tc>
      </w:tr>
      <w:tr>
        <w:trPr/>
        <w:tc>
          <w:tcPr>
            <w:tcW w:w="2221" w:type="dxa"/>
            <w:tcBorders/>
            <w:vAlign w:val="center"/>
          </w:tcPr>
          <w:p>
            <w:pPr>
              <w:pStyle w:val="TableHeading"/>
              <w:suppressLineNumbers/>
              <w:shd w:fill="F2F2F2" w:val="clear"/>
              <w:bidi w:val="0"/>
              <w:spacing w:before="0" w:after="180"/>
              <w:jc w:val="start"/>
              <w:rPr/>
            </w:pPr>
            <w:r>
              <w:rPr/>
              <w:t>Owner</w:t>
            </w:r>
          </w:p>
        </w:tc>
        <w:tc>
          <w:tcPr>
            <w:tcW w:w="3346" w:type="dxa"/>
            <w:tcBorders/>
            <w:vAlign w:val="center"/>
          </w:tcPr>
          <w:p>
            <w:pPr>
              <w:pStyle w:val="TableContents"/>
              <w:bidi w:val="0"/>
              <w:spacing w:before="0" w:after="180"/>
              <w:jc w:val="start"/>
              <w:rPr/>
            </w:pPr>
            <w:r>
              <w:rPr/>
              <w:t>Procurement Operations</w:t>
            </w:r>
          </w:p>
        </w:tc>
      </w:tr>
      <w:tr>
        <w:trPr/>
        <w:tc>
          <w:tcPr>
            <w:tcW w:w="2221" w:type="dxa"/>
            <w:tcBorders/>
            <w:vAlign w:val="center"/>
          </w:tcPr>
          <w:p>
            <w:pPr>
              <w:pStyle w:val="TableHeading"/>
              <w:suppressLineNumbers/>
              <w:shd w:fill="F2F2F2" w:val="clear"/>
              <w:bidi w:val="0"/>
              <w:spacing w:before="0" w:after="180"/>
              <w:jc w:val="start"/>
              <w:rPr/>
            </w:pPr>
            <w:r>
              <w:rPr/>
              <w:t>Classification</w:t>
            </w:r>
          </w:p>
        </w:tc>
        <w:tc>
          <w:tcPr>
            <w:tcW w:w="3346" w:type="dxa"/>
            <w:tcBorders/>
            <w:vAlign w:val="center"/>
          </w:tcPr>
          <w:p>
            <w:pPr>
              <w:pStyle w:val="TableContents"/>
              <w:bidi w:val="0"/>
              <w:spacing w:before="0" w:after="180"/>
              <w:jc w:val="start"/>
              <w:rPr/>
            </w:pPr>
            <w:r>
              <w:rPr/>
              <w:t>Internal review material</w:t>
            </w:r>
          </w:p>
        </w:tc>
      </w:tr>
    </w:tbl>
    <w:p>
      <w:pPr>
        <w:pStyle w:val="Heading2"/>
        <w:bidi w:val="0"/>
        <w:jc w:val="start"/>
        <w:rPr/>
      </w:pPr>
      <w:r>
        <w:rPr/>
        <w:t>12. Revision History</w:t>
      </w:r>
    </w:p>
    <w:tbl>
      <w:tblPr>
        <w:tblW w:w="7054" w:type="dxa"/>
        <w:jc w:val="start"/>
        <w:tblInd w:w="0" w:type="dxa"/>
        <w:tblLayout w:type="fixed"/>
        <w:tblCellMar>
          <w:top w:w="28" w:type="dxa"/>
          <w:start w:w="28" w:type="dxa"/>
          <w:bottom w:w="28" w:type="dxa"/>
          <w:end w:w="28" w:type="dxa"/>
        </w:tblCellMar>
      </w:tblPr>
      <w:tblGrid>
        <w:gridCol w:w="1561"/>
        <w:gridCol w:w="1366"/>
        <w:gridCol w:w="1996"/>
        <w:gridCol w:w="2131"/>
      </w:tblGrid>
      <w:tr>
        <w:trPr/>
        <w:tc>
          <w:tcPr>
            <w:tcW w:w="1561" w:type="dxa"/>
            <w:tcBorders/>
            <w:vAlign w:val="center"/>
          </w:tcPr>
          <w:p>
            <w:pPr>
              <w:pStyle w:val="TableHeading"/>
              <w:suppressLineNumbers/>
              <w:shd w:fill="F2F2F2" w:val="clear"/>
              <w:bidi w:val="0"/>
              <w:spacing w:before="0" w:after="180"/>
              <w:jc w:val="start"/>
              <w:rPr/>
            </w:pPr>
            <w:r>
              <w:rPr/>
              <w:t>Version</w:t>
            </w:r>
          </w:p>
        </w:tc>
        <w:tc>
          <w:tcPr>
            <w:tcW w:w="1366" w:type="dxa"/>
            <w:tcBorders/>
            <w:vAlign w:val="center"/>
          </w:tcPr>
          <w:p>
            <w:pPr>
              <w:pStyle w:val="TableHeading"/>
              <w:suppressLineNumbers/>
              <w:shd w:fill="F2F2F2" w:val="clear"/>
              <w:bidi w:val="0"/>
              <w:spacing w:before="0" w:after="180"/>
              <w:jc w:val="start"/>
              <w:rPr/>
            </w:pPr>
            <w:r>
              <w:rPr/>
              <w:t>Date</w:t>
            </w:r>
          </w:p>
        </w:tc>
        <w:tc>
          <w:tcPr>
            <w:tcW w:w="1996" w:type="dxa"/>
            <w:tcBorders/>
            <w:vAlign w:val="center"/>
          </w:tcPr>
          <w:p>
            <w:pPr>
              <w:pStyle w:val="TableHeading"/>
              <w:suppressLineNumbers/>
              <w:shd w:fill="F2F2F2" w:val="clear"/>
              <w:bidi w:val="0"/>
              <w:spacing w:before="0" w:after="180"/>
              <w:jc w:val="start"/>
              <w:rPr/>
            </w:pPr>
            <w:r>
              <w:rPr/>
              <w:t>Description</w:t>
            </w:r>
          </w:p>
        </w:tc>
        <w:tc>
          <w:tcPr>
            <w:tcW w:w="2131" w:type="dxa"/>
            <w:tcBorders/>
            <w:vAlign w:val="center"/>
          </w:tcPr>
          <w:p>
            <w:pPr>
              <w:pStyle w:val="TableHeading"/>
              <w:suppressLineNumbers/>
              <w:shd w:fill="F2F2F2" w:val="clear"/>
              <w:bidi w:val="0"/>
              <w:spacing w:before="0" w:after="180"/>
              <w:jc w:val="start"/>
              <w:rPr/>
            </w:pPr>
            <w:r>
              <w:rPr/>
              <w:t>Author</w:t>
            </w:r>
          </w:p>
        </w:tc>
      </w:tr>
      <w:tr>
        <w:trPr/>
        <w:tc>
          <w:tcPr>
            <w:tcW w:w="1561" w:type="dxa"/>
            <w:tcBorders/>
            <w:vAlign w:val="center"/>
          </w:tcPr>
          <w:p>
            <w:pPr>
              <w:pStyle w:val="TableContents"/>
              <w:bidi w:val="0"/>
              <w:spacing w:before="0" w:after="180"/>
              <w:jc w:val="start"/>
              <w:rPr/>
            </w:pPr>
            <w:r>
              <w:rPr/>
              <w:t>1.0</w:t>
            </w:r>
          </w:p>
        </w:tc>
        <w:tc>
          <w:tcPr>
            <w:tcW w:w="1366" w:type="dxa"/>
            <w:tcBorders/>
            <w:vAlign w:val="center"/>
          </w:tcPr>
          <w:p>
            <w:pPr>
              <w:pStyle w:val="TableContents"/>
              <w:bidi w:val="0"/>
              <w:spacing w:before="0" w:after="180"/>
              <w:jc w:val="start"/>
              <w:rPr/>
            </w:pPr>
            <w:r>
              <w:rPr/>
              <w:t>March 14, 2026</w:t>
            </w:r>
          </w:p>
        </w:tc>
        <w:tc>
          <w:tcPr>
            <w:tcW w:w="1996" w:type="dxa"/>
            <w:tcBorders/>
            <w:vAlign w:val="center"/>
          </w:tcPr>
          <w:p>
            <w:pPr>
              <w:pStyle w:val="TableContents"/>
              <w:bidi w:val="0"/>
              <w:spacing w:before="0" w:after="180"/>
              <w:jc w:val="start"/>
              <w:rPr/>
            </w:pPr>
            <w:r>
              <w:rPr/>
              <w:t>Initial draft for compliance review</w:t>
            </w:r>
          </w:p>
        </w:tc>
        <w:tc>
          <w:tcPr>
            <w:tcW w:w="2131" w:type="dxa"/>
            <w:tcBorders/>
            <w:vAlign w:val="center"/>
          </w:tcPr>
          <w:p>
            <w:pPr>
              <w:pStyle w:val="TableContents"/>
              <w:bidi w:val="0"/>
              <w:spacing w:before="0" w:after="180"/>
              <w:jc w:val="start"/>
              <w:rPr/>
            </w:pPr>
            <w:r>
              <w:rPr/>
              <w:t>Procurement Operations</w:t>
            </w:r>
          </w:p>
        </w:tc>
      </w:tr>
    </w:tbl>
    <w:p>
      <w:pPr>
        <w:pStyle w:val="Heading2"/>
        <w:bidi w:val="0"/>
        <w:jc w:val="start"/>
        <w:rPr/>
      </w:pPr>
      <w:r>
        <w:rPr/>
        <w:t>13. Distribution</w:t>
      </w:r>
    </w:p>
    <w:p>
      <w:pPr>
        <w:pStyle w:val="BodyText"/>
        <w:bidi w:val="0"/>
        <w:rPr/>
      </w:pPr>
      <w:r>
        <w:rPr/>
        <w:t>This document is distributed to the Compliance Review Board and the Procurement Department leadership only. Unauthorized distribution is strictly prohibited.</w:t>
      </w:r>
    </w:p>
    <w:p>
      <w:pPr>
        <w:pStyle w:val="BodyText"/>
        <w:keepLines/>
        <w:bidi w:val="0"/>
        <w:spacing w:before="450" w:after="180"/>
        <w:ind w:hanging="0" w:start="0" w:end="0"/>
        <w:rPr/>
      </w:pPr>
      <w:r>
        <w:rPr>
          <w:rStyle w:val="Strong"/>
        </w:rPr>
        <w:t>Prepared By:</w:t>
      </w:r>
    </w:p>
    <w:p>
      <w:pPr>
        <w:pStyle w:val="BodyText"/>
        <w:keepLines/>
        <w:bidi w:val="0"/>
        <w:spacing w:before="600" w:after="180"/>
        <w:ind w:hanging="0" w:start="0" w:end="0"/>
        <w:rPr>
          <w:sz w:val="20"/>
          <w:bdr w:val="single" w:sz="2" w:space="4" w:color="000000"/>
        </w:rPr>
      </w:pPr>
      <w:r>
        <w:rPr>
          <w:sz w:val="20"/>
          <w:bdr w:val="single" w:sz="2" w:space="4" w:color="000000"/>
        </w:rPr>
        <w:t>Procurement Operations Specialist</w:t>
        <w:br/>
        <w:t xml:space="preserve">Date: March 14, 2026 </w:t>
      </w:r>
    </w:p>
    <w:p>
      <w:pPr>
        <w:pStyle w:val="BodyText"/>
        <w:bidi w:val="0"/>
        <w:spacing w:before="600" w:after="180"/>
        <w:ind w:hanging="0" w:start="0" w:end="0"/>
        <w:rPr/>
      </w:pPr>
      <w:r>
        <w:rPr>
          <w:rStyle w:val="Strong"/>
          <w:color w:val="555555"/>
          <w:sz w:val="20"/>
          <w:bdr w:val="single" w:sz="2" w:space="11" w:color="CCCCCC"/>
        </w:rPr>
        <w:t>14. Copyright and Handling Notice</w:t>
      </w:r>
    </w:p>
    <w:p>
      <w:pPr>
        <w:pStyle w:val="BodyText"/>
        <w:bidi w:val="0"/>
        <w:spacing w:before="600" w:after="180"/>
        <w:rPr>
          <w:color w:val="555555"/>
          <w:sz w:val="20"/>
          <w:bdr w:val="single" w:sz="2" w:space="11" w:color="CCCCCC"/>
        </w:rPr>
      </w:pPr>
      <w:r>
        <w:rPr>
          <w:color w:val="555555"/>
          <w:sz w:val="20"/>
          <w:bdr w:val="single" w:sz="2" w:space="11" w:color="CCCCCC"/>
        </w:rPr>
        <w:t>© 2026 Meridian Procurement Operations. Internal circulation only — reproduction, redistribution, or export outside the firm is prohibited.</w:t>
      </w:r>
    </w:p>
    <w:p>
      <w:pPr>
        <w:pStyle w:val="BodyText"/>
        <w:bidi w:val="0"/>
        <w:spacing w:before="600" w:after="180"/>
        <w:rPr/>
      </w:pPr>
      <w:r>
        <w:rPr>
          <w:rStyle w:val="Emphasis"/>
          <w:color w:val="555555"/>
          <w:sz w:val="20"/>
          <w:bdr w:val="single" w:sz="2" w:space="11" w:color="CCCCCC"/>
        </w:rPr>
        <w:t>This page is the final page of the briefing.</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Segoe UI"/>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600" w:after="600"/>
      <w:ind w:start="600" w:end="600"/>
    </w:pPr>
    <w:rPr>
      <w:rFonts w:ascii="Calibri;Segoe UI;Arial;sans-serif" w:hAnsi="Calibri;Segoe UI;Arial;sans-serif" w:eastAsia="Calibri;Segoe UI;Arial;sans-serif" w:cs="Calibri;Segoe UI;Arial;sans-serif"/>
      <w:color w:val="222222"/>
      <w:sz w:val="22"/>
      <w:szCs w:val="22"/>
      <w:lang w:val="en-US" w:eastAsia="zh-CN" w:bidi="hi-IN"/>
    </w:rPr>
  </w:style>
  <w:style w:type="paragraph" w:styleId="Heading1">
    <w:name w:val="Heading 1"/>
    <w:basedOn w:val="Heading"/>
    <w:next w:val="BodyText"/>
    <w:qFormat/>
    <w:pPr>
      <w:pBdr>
        <w:bottom w:val="single" w:sz="12" w:space="6" w:color="1A3A5F"/>
      </w:pBdr>
      <w:spacing w:before="240" w:after="300"/>
    </w:pPr>
    <w:rPr>
      <w:rFonts w:ascii="Noto Sans" w:hAnsi="Noto Sans"/>
      <w:b/>
      <w:bCs/>
      <w:color w:val="1A3A5F"/>
      <w:sz w:val="36"/>
      <w:szCs w:val="36"/>
    </w:rPr>
  </w:style>
  <w:style w:type="paragraph" w:styleId="Heading2">
    <w:name w:val="Heading 2"/>
    <w:basedOn w:val="Heading"/>
    <w:next w:val="BodyText"/>
    <w:qFormat/>
    <w:pPr>
      <w:spacing w:before="375" w:after="150"/>
      <w:outlineLvl w:val="1"/>
    </w:pPr>
    <w:rPr>
      <w:rFonts w:ascii="Liberation Serif" w:hAnsi="Liberation Serif" w:eastAsia="Noto Serif CJK SC" w:cs="Noto Sans Devanagari"/>
      <w:b/>
      <w:bCs/>
      <w:caps/>
      <w:color w:val="1A3A5F"/>
      <w:spacing w:val="0"/>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5418" w:leader="none"/>
        <w:tab w:val="right" w:pos="10237" w:leader="none"/>
      </w:tabs>
    </w:pPr>
    <w:rPr/>
  </w:style>
  <w:style w:type="paragraph" w:styleId="Header">
    <w:name w:val="Header"/>
    <w:basedOn w:val="Normal"/>
    <w:pPr>
      <w:suppressLineNumbers/>
      <w:tabs>
        <w:tab w:val="clear" w:pos="1134"/>
        <w:tab w:val="center" w:pos="5418" w:leader="none"/>
        <w:tab w:val="right" w:pos="10237" w:leader="none"/>
      </w:tabs>
    </w:pPr>
    <w:rPr/>
  </w:style>
  <w:style w:type="paragraph" w:styleId="HeaderandFooter">
    <w:name w:val="Header and Footer"/>
    <w:basedOn w:val="Normal"/>
    <w:qFormat/>
    <w:pPr>
      <w:suppressLineNumbers/>
      <w:tabs>
        <w:tab w:val="clear" w:pos="1134"/>
        <w:tab w:val="center" w:pos="5419" w:leader="none"/>
        <w:tab w:val="right" w:pos="102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8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2F2F2"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Vendor Due Diligence Briefing</dc:title>
</cp:coreProperties>
</file>

<file path=docProps/custom.xml><?xml version="1.0" encoding="utf-8"?>
<Properties xmlns="http://schemas.openxmlformats.org/officeDocument/2006/custom-properties" xmlns:vt="http://schemas.openxmlformats.org/officeDocument/2006/docPropsVTypes"/>
</file>