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0" w:after="300"/>
        <w:ind w:hanging="0" w:start="0" w:end="0"/>
        <w:jc w:val="center"/>
        <w:rPr>
          <w:color w:val="FFFFFF"/>
          <w:bdr w:val="single" w:sz="18" w:space="8" w:color="003399"/>
          <w:shd w:fill="003399" w:val="clear"/>
        </w:rPr>
      </w:pPr>
      <w:r>
        <w:rPr>
          <w:color w:val="FFFFFF"/>
          <w:bdr w:val="single" w:sz="18" w:space="8" w:color="003399"/>
          <w:shd w:fill="003399" w:val="clear"/>
        </w:rPr>
        <w:t>ACME CORP</w:t>
      </w:r>
    </w:p>
    <w:p>
      <w:pPr>
        <w:pStyle w:val="BodyText"/>
        <w:bidi w:val="0"/>
        <w:spacing w:before="0" w:after="300"/>
        <w:jc w:val="center"/>
        <w:rPr>
          <w:color w:val="FFFFFF"/>
          <w:bdr w:val="single" w:sz="18" w:space="8" w:color="003399"/>
          <w:shd w:fill="003399" w:val="clear"/>
        </w:rPr>
      </w:pPr>
      <w:r>
        <w:rPr>
          <w:color w:val="FFFFFF"/>
          <w:bdr w:val="single" w:sz="18" w:space="8" w:color="003399"/>
          <w:shd w:fill="003399" w:val="clear"/>
        </w:rPr>
        <w:t>Official Communication</w:t>
      </w:r>
    </w:p>
    <w:p>
      <w:pPr>
        <w:pStyle w:val="BodyText"/>
        <w:bidi w:val="0"/>
        <w:spacing w:before="0" w:after="150"/>
        <w:ind w:hanging="0" w:start="0" w:end="0"/>
        <w:jc w:val="center"/>
        <w:rPr>
          <w:b/>
          <w:color w:val="003399"/>
          <w:sz w:val="48"/>
        </w:rPr>
      </w:pPr>
      <w:r>
        <w:rPr>
          <w:b/>
          <w:color w:val="003399"/>
          <w:sz w:val="48"/>
        </w:rPr>
        <w:t xml:space="preserve">[Logo placeholder] </w:t>
      </w:r>
    </w:p>
    <w:p>
      <w:pPr>
        <w:pStyle w:val="BodyText"/>
        <w:bidi w:val="0"/>
        <w:spacing w:before="0" w:after="300"/>
        <w:ind w:hanging="0" w:start="0" w:end="0"/>
        <w:jc w:val="center"/>
        <w:rPr>
          <w:color w:val="333333"/>
          <w:sz w:val="20"/>
        </w:rPr>
      </w:pPr>
      <w:r>
        <w:rPr>
          <w:color w:val="333333"/>
          <w:sz w:val="20"/>
        </w:rPr>
        <w:t>100 Corporate Plaza</w:t>
        <w:br/>
        <w:t xml:space="preserve">New York, NY 10001 </w:t>
      </w:r>
    </w:p>
    <w:p>
      <w:pPr>
        <w:pStyle w:val="Heading2"/>
        <w:bidi w:val="0"/>
        <w:jc w:val="start"/>
        <w:rPr/>
      </w:pPr>
      <w:r>
        <w:rPr/>
        <w:t>General Template Usage</w:t>
      </w:r>
    </w:p>
    <w:p>
      <w:pPr>
        <w:pStyle w:val="BodyText"/>
        <w:bidi w:val="0"/>
        <w:jc w:val="start"/>
        <w:rPr/>
      </w:pPr>
      <w:r>
        <w:rPr/>
        <w:t>This letterhead template is maintained by the Corporate Communications team. It is intended for authorized internal drafts only. Do not substitute personal names, titles, or company-identifying information into this template without written approval from the VP of Finance's office.</w:t>
      </w:r>
    </w:p>
    <w:p>
      <w:pPr>
        <w:pStyle w:val="BodyText"/>
        <w:bidi w:val="0"/>
        <w:jc w:val="start"/>
        <w:rPr/>
      </w:pPr>
      <w:r>
        <w:rPr/>
        <w:t>Users are required to verify that the document classification level matches the sensitivity of the content before applying this template. Standard business correspondence, internal memos, and draft contracts are the primary use cases. Any deviation from these guidelines must be documented in the internal change log.</w:t>
      </w:r>
    </w:p>
    <w:p>
      <w:pPr>
        <w:pStyle w:val="Heading2"/>
        <w:bidi w:val="0"/>
        <w:jc w:val="start"/>
        <w:rPr/>
      </w:pPr>
      <w:r>
        <w:rPr/>
        <w:t>Formatting Specifications</w:t>
      </w:r>
    </w:p>
    <w:p>
      <w:pPr>
        <w:pStyle w:val="BodyText"/>
        <w:bidi w:val="0"/>
        <w:jc w:val="start"/>
        <w:rPr/>
      </w:pPr>
      <w:r>
        <w:rPr/>
        <w:t>Adherence to the following technical specifications is mandatory to ensure brand consistency across all corporate documents:</w:t>
      </w:r>
    </w:p>
    <w:p>
      <w:pPr>
        <w:pStyle w:val="BodyText"/>
        <w:numPr>
          <w:ilvl w:val="0"/>
          <w:numId w:val="1"/>
        </w:numPr>
        <w:tabs>
          <w:tab w:val="clear" w:pos="1134"/>
          <w:tab w:val="left" w:pos="2149" w:leader="none"/>
        </w:tabs>
        <w:bidi w:val="0"/>
        <w:spacing w:before="0" w:after="0"/>
        <w:ind w:hanging="283" w:start="2149"/>
        <w:jc w:val="start"/>
        <w:rPr/>
      </w:pPr>
      <w:r>
        <w:rPr>
          <w:rStyle w:val="Strong"/>
        </w:rPr>
        <w:t>Font:</w:t>
      </w:r>
      <w:r>
        <w:rPr/>
        <w:t xml:space="preserve"> Acme Sans, 11 pt </w:t>
      </w:r>
    </w:p>
    <w:p>
      <w:pPr>
        <w:pStyle w:val="BodyText"/>
        <w:numPr>
          <w:ilvl w:val="0"/>
          <w:numId w:val="1"/>
        </w:numPr>
        <w:tabs>
          <w:tab w:val="clear" w:pos="1134"/>
          <w:tab w:val="left" w:pos="2149" w:leader="none"/>
        </w:tabs>
        <w:bidi w:val="0"/>
        <w:spacing w:before="0" w:after="0"/>
        <w:ind w:hanging="283" w:start="2149"/>
        <w:jc w:val="start"/>
        <w:rPr/>
      </w:pPr>
      <w:r>
        <w:rPr>
          <w:rStyle w:val="Strong"/>
        </w:rPr>
        <w:t>Header band color:</w:t>
      </w:r>
      <w:r>
        <w:rPr/>
        <w:t xml:space="preserve"> Acme Blue #003399 </w:t>
      </w:r>
    </w:p>
    <w:p>
      <w:pPr>
        <w:pStyle w:val="BodyText"/>
        <w:numPr>
          <w:ilvl w:val="0"/>
          <w:numId w:val="1"/>
        </w:numPr>
        <w:tabs>
          <w:tab w:val="clear" w:pos="1134"/>
          <w:tab w:val="left" w:pos="2149" w:leader="none"/>
        </w:tabs>
        <w:bidi w:val="0"/>
        <w:spacing w:before="0" w:after="0"/>
        <w:ind w:hanging="283" w:start="2149"/>
        <w:jc w:val="start"/>
        <w:rPr/>
      </w:pPr>
      <w:r>
        <w:rPr>
          <w:rStyle w:val="Strong"/>
        </w:rPr>
        <w:t>Footer color:</w:t>
      </w:r>
      <w:r>
        <w:rPr/>
        <w:t xml:space="preserve"> Acme Gray #666666 </w:t>
      </w:r>
    </w:p>
    <w:p>
      <w:pPr>
        <w:pStyle w:val="BodyText"/>
        <w:numPr>
          <w:ilvl w:val="0"/>
          <w:numId w:val="1"/>
        </w:numPr>
        <w:tabs>
          <w:tab w:val="clear" w:pos="1134"/>
          <w:tab w:val="left" w:pos="2149" w:leader="none"/>
        </w:tabs>
        <w:bidi w:val="0"/>
        <w:spacing w:before="0" w:after="0"/>
        <w:ind w:hanging="283" w:start="2149"/>
        <w:jc w:val="start"/>
        <w:rPr/>
      </w:pPr>
      <w:r>
        <w:rPr>
          <w:rStyle w:val="Strong"/>
        </w:rPr>
        <w:t>Letter size:</w:t>
      </w:r>
      <w:r>
        <w:rPr/>
        <w:t xml:space="preserve"> US Letter </w:t>
      </w:r>
    </w:p>
    <w:p>
      <w:pPr>
        <w:pStyle w:val="BodyText"/>
        <w:numPr>
          <w:ilvl w:val="0"/>
          <w:numId w:val="1"/>
        </w:numPr>
        <w:tabs>
          <w:tab w:val="clear" w:pos="1134"/>
          <w:tab w:val="left" w:pos="2149" w:leader="none"/>
        </w:tabs>
        <w:bidi w:val="0"/>
        <w:ind w:hanging="283" w:start="2149"/>
        <w:jc w:val="start"/>
        <w:rPr/>
      </w:pPr>
      <w:r>
        <w:rPr>
          <w:rStyle w:val="Strong"/>
        </w:rPr>
        <w:t>Margins:</w:t>
      </w:r>
      <w:r>
        <w:rPr/>
        <w:t xml:space="preserve"> 1 inch </w:t>
      </w:r>
    </w:p>
    <w:p>
      <w:pPr>
        <w:pStyle w:val="Heading3"/>
        <w:bidi w:val="0"/>
        <w:jc w:val="start"/>
        <w:rPr/>
      </w:pPr>
      <w:r>
        <w:rPr/>
        <w:t>Standard Header</w:t>
      </w:r>
    </w:p>
    <w:p>
      <w:pPr>
        <w:pStyle w:val="BodyText"/>
        <w:bidi w:val="0"/>
        <w:jc w:val="start"/>
        <w:rPr/>
      </w:pPr>
      <w:r>
        <w:rPr/>
        <w:t>All documents must display the following header configuration. The header band must remain contiguous with the top margin and must not be cropped or resized.</w:t>
      </w:r>
    </w:p>
    <w:p>
      <w:pPr>
        <w:pStyle w:val="BodyText"/>
        <w:bidi w:val="0"/>
        <w:spacing w:before="150" w:after="150"/>
        <w:ind w:hanging="0" w:start="150" w:end="150"/>
        <w:jc w:val="center"/>
        <w:rPr/>
      </w:pPr>
      <w:r>
        <w:rPr>
          <w:rStyle w:val="Strong"/>
        </w:rPr>
        <w:t>ACME CORP</w:t>
      </w:r>
      <w:r>
        <w:rPr/>
        <w:br/>
        <w:t xml:space="preserve">Official Communication </w:t>
      </w:r>
    </w:p>
    <w:p>
      <w:pPr>
        <w:pStyle w:val="Heading3"/>
        <w:bidi w:val="0"/>
        <w:jc w:val="start"/>
        <w:rPr/>
      </w:pPr>
      <w:r>
        <w:rPr/>
        <w:t>Standard Footer</w:t>
      </w:r>
    </w:p>
    <w:p>
      <w:pPr>
        <w:pStyle w:val="BodyText"/>
        <w:bidi w:val="0"/>
        <w:jc w:val="start"/>
        <w:rPr/>
      </w:pPr>
      <w:r>
        <w:rPr/>
        <w:t>The footer must contain the proprietary notice below. This text is non-editable and must appear on every page of the document.</w:t>
      </w:r>
    </w:p>
    <w:p>
      <w:pPr>
        <w:pStyle w:val="BodyText"/>
        <w:bidi w:val="0"/>
        <w:spacing w:before="150" w:after="150"/>
        <w:ind w:hanging="0" w:start="150" w:end="150"/>
        <w:jc w:val="center"/>
        <w:rPr>
          <w:bdr w:val="dashed" w:sz="2" w:space="8" w:color="666666"/>
        </w:rPr>
      </w:pPr>
      <w:r>
        <w:rPr>
          <w:bdr w:val="dashed" w:sz="2" w:space="8" w:color="666666"/>
        </w:rPr>
        <w:t xml:space="preserve">This template contains proprietary branding materials of Acme Corp. </w:t>
      </w:r>
    </w:p>
    <w:p>
      <w:pPr>
        <w:pStyle w:val="Heading2"/>
        <w:bidi w:val="0"/>
        <w:jc w:val="start"/>
        <w:rPr/>
      </w:pPr>
      <w:r>
        <w:rPr/>
        <w:t>Authorized Use</w:t>
      </w:r>
    </w:p>
    <w:p>
      <w:pPr>
        <w:pStyle w:val="BodyText"/>
        <w:bidi w:val="0"/>
        <w:jc w:val="start"/>
        <w:rPr/>
      </w:pPr>
      <w:r>
        <w:rPr/>
        <w:t>Only documents issued by the Corporate Communications team may bear the Acme Corp letterhead. Any other use requires written authorization. Department heads must submit requests for exception through the standard IT service portal, referencing the current revision number of this template.</w:t>
      </w:r>
    </w:p>
    <w:p>
      <w:pPr>
        <w:pStyle w:val="Heading2"/>
        <w:bidi w:val="0"/>
        <w:jc w:val="start"/>
        <w:rPr/>
      </w:pPr>
      <w:r>
        <w:rPr/>
        <w:t>Template Revision History</w:t>
      </w:r>
    </w:p>
    <w:tbl>
      <w:tblPr>
        <w:tblW w:w="9258" w:type="dxa"/>
        <w:jc w:val="start"/>
        <w:tblInd w:w="0" w:type="dxa"/>
        <w:tblLayout w:type="fixed"/>
        <w:tblCellMar>
          <w:top w:w="28" w:type="dxa"/>
          <w:start w:w="28" w:type="dxa"/>
          <w:bottom w:w="28" w:type="dxa"/>
          <w:end w:w="28" w:type="dxa"/>
        </w:tblCellMar>
      </w:tblPr>
      <w:tblGrid>
        <w:gridCol w:w="2401"/>
        <w:gridCol w:w="4126"/>
        <w:gridCol w:w="2731"/>
      </w:tblGrid>
      <w:tr>
        <w:trPr>
          <w:tblHeader w:val="true"/>
        </w:trPr>
        <w:tc>
          <w:tcPr>
            <w:tcW w:w="2401" w:type="dxa"/>
            <w:tcBorders/>
            <w:vAlign w:val="center"/>
          </w:tcPr>
          <w:p>
            <w:pPr>
              <w:pStyle w:val="TableHeading"/>
              <w:suppressLineNumbers/>
              <w:shd w:fill="F2F2F2" w:val="clear"/>
              <w:bidi w:val="0"/>
              <w:spacing w:before="0" w:after="283"/>
              <w:jc w:val="start"/>
              <w:rPr/>
            </w:pPr>
            <w:r>
              <w:rPr/>
              <w:t>Version</w:t>
            </w:r>
          </w:p>
        </w:tc>
        <w:tc>
          <w:tcPr>
            <w:tcW w:w="4126" w:type="dxa"/>
            <w:tcBorders/>
            <w:vAlign w:val="center"/>
          </w:tcPr>
          <w:p>
            <w:pPr>
              <w:pStyle w:val="TableHeading"/>
              <w:suppressLineNumbers/>
              <w:shd w:fill="F2F2F2" w:val="clear"/>
              <w:bidi w:val="0"/>
              <w:spacing w:before="0" w:after="283"/>
              <w:jc w:val="start"/>
              <w:rPr/>
            </w:pPr>
            <w:r>
              <w:rPr/>
              <w:t>Description</w:t>
            </w:r>
          </w:p>
        </w:tc>
        <w:tc>
          <w:tcPr>
            <w:tcW w:w="2731" w:type="dxa"/>
            <w:tcBorders/>
            <w:vAlign w:val="center"/>
          </w:tcPr>
          <w:p>
            <w:pPr>
              <w:pStyle w:val="TableHeading"/>
              <w:suppressLineNumbers/>
              <w:shd w:fill="F2F2F2" w:val="clear"/>
              <w:bidi w:val="0"/>
              <w:spacing w:before="0" w:after="283"/>
              <w:jc w:val="start"/>
              <w:rPr/>
            </w:pPr>
            <w:r>
              <w:rPr/>
              <w:t>Date</w:t>
            </w:r>
          </w:p>
        </w:tc>
      </w:tr>
      <w:tr>
        <w:trPr/>
        <w:tc>
          <w:tcPr>
            <w:tcW w:w="2401" w:type="dxa"/>
            <w:tcBorders/>
            <w:vAlign w:val="center"/>
          </w:tcPr>
          <w:p>
            <w:pPr>
              <w:pStyle w:val="TableContents"/>
              <w:bidi w:val="0"/>
              <w:spacing w:before="0" w:after="283"/>
              <w:jc w:val="start"/>
              <w:rPr/>
            </w:pPr>
            <w:r>
              <w:rPr/>
              <w:t>Rev 1.0</w:t>
            </w:r>
          </w:p>
        </w:tc>
        <w:tc>
          <w:tcPr>
            <w:tcW w:w="4126" w:type="dxa"/>
            <w:tcBorders/>
            <w:vAlign w:val="center"/>
          </w:tcPr>
          <w:p>
            <w:pPr>
              <w:pStyle w:val="TableContents"/>
              <w:bidi w:val="0"/>
              <w:spacing w:before="0" w:after="283"/>
              <w:jc w:val="start"/>
              <w:rPr/>
            </w:pPr>
            <w:r>
              <w:rPr/>
              <w:t>Initial release</w:t>
            </w:r>
          </w:p>
        </w:tc>
        <w:tc>
          <w:tcPr>
            <w:tcW w:w="2731" w:type="dxa"/>
            <w:tcBorders/>
            <w:vAlign w:val="center"/>
          </w:tcPr>
          <w:p>
            <w:pPr>
              <w:pStyle w:val="TableContents"/>
              <w:bidi w:val="0"/>
              <w:spacing w:before="0" w:after="283"/>
              <w:jc w:val="start"/>
              <w:rPr/>
            </w:pPr>
            <w:r>
              <w:rPr/>
              <w:t>2024-01-15</w:t>
            </w:r>
          </w:p>
        </w:tc>
      </w:tr>
      <w:tr>
        <w:trPr/>
        <w:tc>
          <w:tcPr>
            <w:tcW w:w="2401" w:type="dxa"/>
            <w:tcBorders/>
            <w:vAlign w:val="center"/>
          </w:tcPr>
          <w:p>
            <w:pPr>
              <w:pStyle w:val="TableContents"/>
              <w:bidi w:val="0"/>
              <w:spacing w:before="0" w:after="283"/>
              <w:jc w:val="start"/>
              <w:rPr/>
            </w:pPr>
            <w:r>
              <w:rPr/>
              <w:t>Rev 2.1</w:t>
            </w:r>
          </w:p>
        </w:tc>
        <w:tc>
          <w:tcPr>
            <w:tcW w:w="4126" w:type="dxa"/>
            <w:tcBorders/>
            <w:vAlign w:val="center"/>
          </w:tcPr>
          <w:p>
            <w:pPr>
              <w:pStyle w:val="TableContents"/>
              <w:bidi w:val="0"/>
              <w:spacing w:before="0" w:after="283"/>
              <w:jc w:val="start"/>
              <w:rPr/>
            </w:pPr>
            <w:r>
              <w:rPr/>
              <w:t>Updated color palette</w:t>
            </w:r>
          </w:p>
        </w:tc>
        <w:tc>
          <w:tcPr>
            <w:tcW w:w="2731" w:type="dxa"/>
            <w:tcBorders/>
            <w:vAlign w:val="center"/>
          </w:tcPr>
          <w:p>
            <w:pPr>
              <w:pStyle w:val="TableContents"/>
              <w:bidi w:val="0"/>
              <w:spacing w:before="0" w:after="283"/>
              <w:jc w:val="start"/>
              <w:rPr/>
            </w:pPr>
            <w:r>
              <w:rPr/>
              <w:t>2024-06-20</w:t>
            </w:r>
          </w:p>
        </w:tc>
      </w:tr>
      <w:tr>
        <w:trPr/>
        <w:tc>
          <w:tcPr>
            <w:tcW w:w="2401" w:type="dxa"/>
            <w:tcBorders/>
            <w:vAlign w:val="center"/>
          </w:tcPr>
          <w:p>
            <w:pPr>
              <w:pStyle w:val="TableContents"/>
              <w:bidi w:val="0"/>
              <w:spacing w:before="0" w:after="283"/>
              <w:jc w:val="start"/>
              <w:rPr/>
            </w:pPr>
            <w:r>
              <w:rPr/>
              <w:t>Rev 3.0</w:t>
            </w:r>
          </w:p>
        </w:tc>
        <w:tc>
          <w:tcPr>
            <w:tcW w:w="4126" w:type="dxa"/>
            <w:tcBorders/>
            <w:vAlign w:val="center"/>
          </w:tcPr>
          <w:p>
            <w:pPr>
              <w:pStyle w:val="TableContents"/>
              <w:bidi w:val="0"/>
              <w:spacing w:before="0" w:after="283"/>
              <w:jc w:val="start"/>
              <w:rPr/>
            </w:pPr>
            <w:r>
              <w:rPr/>
              <w:t>Added usage restrictions</w:t>
            </w:r>
          </w:p>
        </w:tc>
        <w:tc>
          <w:tcPr>
            <w:tcW w:w="2731" w:type="dxa"/>
            <w:tcBorders/>
            <w:vAlign w:val="center"/>
          </w:tcPr>
          <w:p>
            <w:pPr>
              <w:pStyle w:val="TableContents"/>
              <w:bidi w:val="0"/>
              <w:spacing w:before="0" w:after="283"/>
              <w:jc w:val="start"/>
              <w:rPr/>
            </w:pPr>
            <w:r>
              <w:rPr/>
              <w:t>2025-01-10</w:t>
            </w:r>
          </w:p>
        </w:tc>
      </w:tr>
      <w:tr>
        <w:trPr/>
        <w:tc>
          <w:tcPr>
            <w:tcW w:w="2401" w:type="dxa"/>
            <w:tcBorders/>
            <w:vAlign w:val="center"/>
          </w:tcPr>
          <w:p>
            <w:pPr>
              <w:pStyle w:val="TableContents"/>
              <w:bidi w:val="0"/>
              <w:spacing w:before="0" w:after="283"/>
              <w:jc w:val="start"/>
              <w:rPr/>
            </w:pPr>
            <w:r>
              <w:rPr/>
              <w:t>Rev 3.1</w:t>
            </w:r>
          </w:p>
        </w:tc>
        <w:tc>
          <w:tcPr>
            <w:tcW w:w="4126" w:type="dxa"/>
            <w:tcBorders/>
            <w:vAlign w:val="center"/>
          </w:tcPr>
          <w:p>
            <w:pPr>
              <w:pStyle w:val="TableContents"/>
              <w:bidi w:val="0"/>
              <w:spacing w:before="0" w:after="283"/>
              <w:jc w:val="start"/>
              <w:rPr/>
            </w:pPr>
            <w:r>
              <w:rPr/>
              <w:t>Formatting QA</w:t>
            </w:r>
          </w:p>
        </w:tc>
        <w:tc>
          <w:tcPr>
            <w:tcW w:w="2731" w:type="dxa"/>
            <w:tcBorders/>
            <w:vAlign w:val="center"/>
          </w:tcPr>
          <w:p>
            <w:pPr>
              <w:pStyle w:val="TableContents"/>
              <w:bidi w:val="0"/>
              <w:spacing w:before="0" w:after="283"/>
              <w:jc w:val="start"/>
              <w:rPr/>
            </w:pPr>
            <w:r>
              <w:rPr/>
              <w:t>2025-02-14</w:t>
            </w:r>
          </w:p>
        </w:tc>
      </w:tr>
      <w:tr>
        <w:trPr/>
        <w:tc>
          <w:tcPr>
            <w:tcW w:w="2401" w:type="dxa"/>
            <w:tcBorders/>
            <w:vAlign w:val="center"/>
          </w:tcPr>
          <w:p>
            <w:pPr>
              <w:pStyle w:val="TableContents"/>
              <w:bidi w:val="0"/>
              <w:spacing w:before="0" w:after="283"/>
              <w:jc w:val="start"/>
              <w:rPr/>
            </w:pPr>
            <w:r>
              <w:rPr/>
              <w:t>Rev 3.2</w:t>
            </w:r>
          </w:p>
        </w:tc>
        <w:tc>
          <w:tcPr>
            <w:tcW w:w="4126" w:type="dxa"/>
            <w:tcBorders/>
            <w:vAlign w:val="center"/>
          </w:tcPr>
          <w:p>
            <w:pPr>
              <w:pStyle w:val="TableContents"/>
              <w:bidi w:val="0"/>
              <w:spacing w:before="0" w:after="283"/>
              <w:jc w:val="start"/>
              <w:rPr/>
            </w:pPr>
            <w:r>
              <w:rPr/>
              <w:t>Margin corrections</w:t>
            </w:r>
          </w:p>
        </w:tc>
        <w:tc>
          <w:tcPr>
            <w:tcW w:w="2731" w:type="dxa"/>
            <w:tcBorders/>
            <w:vAlign w:val="center"/>
          </w:tcPr>
          <w:p>
            <w:pPr>
              <w:pStyle w:val="TableContents"/>
              <w:bidi w:val="0"/>
              <w:spacing w:before="0" w:after="283"/>
              <w:jc w:val="start"/>
              <w:rPr/>
            </w:pPr>
            <w:r>
              <w:rPr/>
              <w:t>2025-03-05</w:t>
            </w:r>
          </w:p>
        </w:tc>
      </w:tr>
      <w:tr>
        <w:trPr/>
        <w:tc>
          <w:tcPr>
            <w:tcW w:w="2401" w:type="dxa"/>
            <w:tcBorders/>
            <w:vAlign w:val="center"/>
          </w:tcPr>
          <w:p>
            <w:pPr>
              <w:pStyle w:val="TableContents"/>
              <w:bidi w:val="0"/>
              <w:spacing w:before="0" w:after="283"/>
              <w:jc w:val="start"/>
              <w:rPr/>
            </w:pPr>
            <w:r>
              <w:rPr/>
              <w:t>Rev 3.3</w:t>
            </w:r>
          </w:p>
        </w:tc>
        <w:tc>
          <w:tcPr>
            <w:tcW w:w="4126" w:type="dxa"/>
            <w:tcBorders/>
            <w:vAlign w:val="center"/>
          </w:tcPr>
          <w:p>
            <w:pPr>
              <w:pStyle w:val="TableContents"/>
              <w:bidi w:val="0"/>
              <w:spacing w:before="0" w:after="283"/>
              <w:jc w:val="start"/>
              <w:rPr/>
            </w:pPr>
            <w:r>
              <w:rPr/>
              <w:t>Font embedding check</w:t>
            </w:r>
          </w:p>
        </w:tc>
        <w:tc>
          <w:tcPr>
            <w:tcW w:w="2731" w:type="dxa"/>
            <w:tcBorders/>
            <w:vAlign w:val="center"/>
          </w:tcPr>
          <w:p>
            <w:pPr>
              <w:pStyle w:val="TableContents"/>
              <w:bidi w:val="0"/>
              <w:spacing w:before="0" w:after="283"/>
              <w:jc w:val="start"/>
              <w:rPr/>
            </w:pPr>
            <w:r>
              <w:rPr/>
              <w:t>2025-04-18</w:t>
            </w:r>
          </w:p>
        </w:tc>
      </w:tr>
      <w:tr>
        <w:trPr/>
        <w:tc>
          <w:tcPr>
            <w:tcW w:w="2401" w:type="dxa"/>
            <w:tcBorders/>
            <w:vAlign w:val="center"/>
          </w:tcPr>
          <w:p>
            <w:pPr>
              <w:pStyle w:val="TableContents"/>
              <w:bidi w:val="0"/>
              <w:spacing w:before="0" w:after="283"/>
              <w:jc w:val="start"/>
              <w:rPr/>
            </w:pPr>
            <w:r>
              <w:rPr/>
              <w:t>Rev 3.4</w:t>
            </w:r>
          </w:p>
        </w:tc>
        <w:tc>
          <w:tcPr>
            <w:tcW w:w="4126" w:type="dxa"/>
            <w:tcBorders/>
            <w:vAlign w:val="center"/>
          </w:tcPr>
          <w:p>
            <w:pPr>
              <w:pStyle w:val="TableContents"/>
              <w:bidi w:val="0"/>
              <w:spacing w:before="0" w:after="283"/>
              <w:jc w:val="start"/>
              <w:rPr/>
            </w:pPr>
            <w:r>
              <w:rPr/>
              <w:t>Header alignment fix</w:t>
            </w:r>
          </w:p>
        </w:tc>
        <w:tc>
          <w:tcPr>
            <w:tcW w:w="2731" w:type="dxa"/>
            <w:tcBorders/>
            <w:vAlign w:val="center"/>
          </w:tcPr>
          <w:p>
            <w:pPr>
              <w:pStyle w:val="TableContents"/>
              <w:bidi w:val="0"/>
              <w:spacing w:before="0" w:after="283"/>
              <w:jc w:val="start"/>
              <w:rPr/>
            </w:pPr>
            <w:r>
              <w:rPr/>
              <w:t>2025-05-22</w:t>
            </w:r>
          </w:p>
        </w:tc>
      </w:tr>
      <w:tr>
        <w:trPr/>
        <w:tc>
          <w:tcPr>
            <w:tcW w:w="2401" w:type="dxa"/>
            <w:tcBorders/>
            <w:vAlign w:val="center"/>
          </w:tcPr>
          <w:p>
            <w:pPr>
              <w:pStyle w:val="TableContents"/>
              <w:bidi w:val="0"/>
              <w:spacing w:before="0" w:after="283"/>
              <w:jc w:val="start"/>
              <w:rPr/>
            </w:pPr>
            <w:r>
              <w:rPr/>
              <w:t>Rev 3.5</w:t>
            </w:r>
          </w:p>
        </w:tc>
        <w:tc>
          <w:tcPr>
            <w:tcW w:w="4126" w:type="dxa"/>
            <w:tcBorders/>
            <w:vAlign w:val="center"/>
          </w:tcPr>
          <w:p>
            <w:pPr>
              <w:pStyle w:val="TableContents"/>
              <w:bidi w:val="0"/>
              <w:spacing w:before="0" w:after="283"/>
              <w:jc w:val="start"/>
              <w:rPr/>
            </w:pPr>
            <w:r>
              <w:rPr/>
              <w:t>Footer spacing update</w:t>
            </w:r>
          </w:p>
        </w:tc>
        <w:tc>
          <w:tcPr>
            <w:tcW w:w="2731" w:type="dxa"/>
            <w:tcBorders/>
            <w:vAlign w:val="center"/>
          </w:tcPr>
          <w:p>
            <w:pPr>
              <w:pStyle w:val="TableContents"/>
              <w:bidi w:val="0"/>
              <w:spacing w:before="0" w:after="283"/>
              <w:jc w:val="start"/>
              <w:rPr/>
            </w:pPr>
            <w:r>
              <w:rPr/>
              <w:t>2025-06-30</w:t>
            </w:r>
          </w:p>
        </w:tc>
      </w:tr>
      <w:tr>
        <w:trPr/>
        <w:tc>
          <w:tcPr>
            <w:tcW w:w="2401" w:type="dxa"/>
            <w:tcBorders/>
            <w:vAlign w:val="center"/>
          </w:tcPr>
          <w:p>
            <w:pPr>
              <w:pStyle w:val="TableContents"/>
              <w:bidi w:val="0"/>
              <w:spacing w:before="0" w:after="283"/>
              <w:jc w:val="start"/>
              <w:rPr/>
            </w:pPr>
            <w:r>
              <w:rPr/>
              <w:t>Rev 3.6</w:t>
            </w:r>
          </w:p>
        </w:tc>
        <w:tc>
          <w:tcPr>
            <w:tcW w:w="4126" w:type="dxa"/>
            <w:tcBorders/>
            <w:vAlign w:val="center"/>
          </w:tcPr>
          <w:p>
            <w:pPr>
              <w:pStyle w:val="TableContents"/>
              <w:bidi w:val="0"/>
              <w:spacing w:before="0" w:after="283"/>
              <w:jc w:val="start"/>
              <w:rPr/>
            </w:pPr>
            <w:r>
              <w:rPr/>
              <w:t>PDF export validation</w:t>
            </w:r>
          </w:p>
        </w:tc>
        <w:tc>
          <w:tcPr>
            <w:tcW w:w="2731" w:type="dxa"/>
            <w:tcBorders/>
            <w:vAlign w:val="center"/>
          </w:tcPr>
          <w:p>
            <w:pPr>
              <w:pStyle w:val="TableContents"/>
              <w:bidi w:val="0"/>
              <w:spacing w:before="0" w:after="283"/>
              <w:jc w:val="start"/>
              <w:rPr/>
            </w:pPr>
            <w:r>
              <w:rPr/>
              <w:t>2025-08-12</w:t>
            </w:r>
          </w:p>
        </w:tc>
      </w:tr>
      <w:tr>
        <w:trPr/>
        <w:tc>
          <w:tcPr>
            <w:tcW w:w="2401" w:type="dxa"/>
            <w:tcBorders/>
            <w:vAlign w:val="center"/>
          </w:tcPr>
          <w:p>
            <w:pPr>
              <w:pStyle w:val="TableContents"/>
              <w:bidi w:val="0"/>
              <w:spacing w:before="0" w:after="283"/>
              <w:jc w:val="start"/>
              <w:rPr/>
            </w:pPr>
            <w:r>
              <w:rPr/>
              <w:t>Rev 3.7</w:t>
            </w:r>
          </w:p>
        </w:tc>
        <w:tc>
          <w:tcPr>
            <w:tcW w:w="4126" w:type="dxa"/>
            <w:tcBorders/>
            <w:vAlign w:val="center"/>
          </w:tcPr>
          <w:p>
            <w:pPr>
              <w:pStyle w:val="TableContents"/>
              <w:bidi w:val="0"/>
              <w:spacing w:before="0" w:after="283"/>
              <w:jc w:val="start"/>
              <w:rPr/>
            </w:pPr>
            <w:r>
              <w:rPr/>
              <w:t>Mail merge compatibility</w:t>
            </w:r>
          </w:p>
        </w:tc>
        <w:tc>
          <w:tcPr>
            <w:tcW w:w="2731" w:type="dxa"/>
            <w:tcBorders/>
            <w:vAlign w:val="center"/>
          </w:tcPr>
          <w:p>
            <w:pPr>
              <w:pStyle w:val="TableContents"/>
              <w:bidi w:val="0"/>
              <w:spacing w:before="0" w:after="283"/>
              <w:jc w:val="start"/>
              <w:rPr/>
            </w:pPr>
            <w:r>
              <w:rPr/>
              <w:t>2025-09-25</w:t>
            </w:r>
          </w:p>
        </w:tc>
      </w:tr>
      <w:tr>
        <w:trPr/>
        <w:tc>
          <w:tcPr>
            <w:tcW w:w="2401" w:type="dxa"/>
            <w:tcBorders/>
            <w:vAlign w:val="center"/>
          </w:tcPr>
          <w:p>
            <w:pPr>
              <w:pStyle w:val="TableContents"/>
              <w:bidi w:val="0"/>
              <w:spacing w:before="0" w:after="283"/>
              <w:jc w:val="start"/>
              <w:rPr/>
            </w:pPr>
            <w:r>
              <w:rPr/>
              <w:t>Rev 3.8</w:t>
            </w:r>
          </w:p>
        </w:tc>
        <w:tc>
          <w:tcPr>
            <w:tcW w:w="4126" w:type="dxa"/>
            <w:tcBorders/>
            <w:vAlign w:val="center"/>
          </w:tcPr>
          <w:p>
            <w:pPr>
              <w:pStyle w:val="TableContents"/>
              <w:bidi w:val="0"/>
              <w:spacing w:before="0" w:after="283"/>
              <w:jc w:val="start"/>
              <w:rPr/>
            </w:pPr>
            <w:r>
              <w:rPr/>
              <w:t>Style cleanup</w:t>
            </w:r>
          </w:p>
        </w:tc>
        <w:tc>
          <w:tcPr>
            <w:tcW w:w="2731" w:type="dxa"/>
            <w:tcBorders/>
            <w:vAlign w:val="center"/>
          </w:tcPr>
          <w:p>
            <w:pPr>
              <w:pStyle w:val="TableContents"/>
              <w:bidi w:val="0"/>
              <w:spacing w:before="0" w:after="283"/>
              <w:jc w:val="start"/>
              <w:rPr/>
            </w:pPr>
            <w:r>
              <w:rPr/>
              <w:t>2025-11-08</w:t>
            </w:r>
          </w:p>
        </w:tc>
      </w:tr>
      <w:tr>
        <w:trPr/>
        <w:tc>
          <w:tcPr>
            <w:tcW w:w="2401" w:type="dxa"/>
            <w:tcBorders/>
            <w:vAlign w:val="center"/>
          </w:tcPr>
          <w:p>
            <w:pPr>
              <w:pStyle w:val="TableContents"/>
              <w:bidi w:val="0"/>
              <w:spacing w:before="0" w:after="283"/>
              <w:jc w:val="start"/>
              <w:rPr/>
            </w:pPr>
            <w:r>
              <w:rPr/>
              <w:t>Rev 3.9</w:t>
            </w:r>
          </w:p>
        </w:tc>
        <w:tc>
          <w:tcPr>
            <w:tcW w:w="4126" w:type="dxa"/>
            <w:tcBorders/>
            <w:vAlign w:val="center"/>
          </w:tcPr>
          <w:p>
            <w:pPr>
              <w:pStyle w:val="TableContents"/>
              <w:bidi w:val="0"/>
              <w:spacing w:before="0" w:after="283"/>
              <w:jc w:val="start"/>
              <w:rPr/>
            </w:pPr>
            <w:r>
              <w:rPr/>
              <w:t>Final QA</w:t>
            </w:r>
          </w:p>
        </w:tc>
        <w:tc>
          <w:tcPr>
            <w:tcW w:w="2731" w:type="dxa"/>
            <w:tcBorders/>
            <w:vAlign w:val="center"/>
          </w:tcPr>
          <w:p>
            <w:pPr>
              <w:pStyle w:val="TableContents"/>
              <w:bidi w:val="0"/>
              <w:spacing w:before="0" w:after="283"/>
              <w:jc w:val="start"/>
              <w:rPr/>
            </w:pPr>
            <w:r>
              <w:rPr/>
              <w:t>2025-12-15</w:t>
            </w:r>
          </w:p>
        </w:tc>
      </w:tr>
    </w:tbl>
    <w:p>
      <w:pPr>
        <w:pStyle w:val="BodyText"/>
        <w:bidi w:val="0"/>
        <w:spacing w:before="600" w:after="283"/>
        <w:ind w:hanging="0" w:start="0" w:end="0"/>
        <w:jc w:val="center"/>
        <w:rPr>
          <w:color w:val="FFFFFF"/>
          <w:sz w:val="18"/>
          <w:bdr w:val="single" w:sz="18" w:space="8" w:color="666666"/>
          <w:shd w:fill="666666" w:val="clear"/>
        </w:rPr>
      </w:pPr>
      <w:r>
        <w:rPr>
          <w:color w:val="FFFFFF"/>
          <w:sz w:val="18"/>
          <w:bdr w:val="single" w:sz="18" w:space="8" w:color="666666"/>
          <w:shd w:fill="666666" w:val="clear"/>
        </w:rPr>
        <w:t xml:space="preserve">This template contains proprietary branding materials of Acme Corp. </w:t>
      </w:r>
    </w:p>
    <w:p>
      <w:pPr>
        <w:pStyle w:val="BodyText"/>
        <w:bidi w:val="0"/>
        <w:spacing w:before="450" w:after="283"/>
        <w:ind w:hanging="0" w:start="0" w:end="0"/>
        <w:jc w:val="center"/>
        <w:rPr>
          <w:b/>
          <w:bdr w:val="single" w:sz="2" w:space="8" w:color="000000"/>
          <w:shd w:fill="F9F9F9" w:val="clear"/>
        </w:rPr>
      </w:pPr>
      <w:r>
        <w:rPr>
          <w:b/>
          <w:bdr w:val="single" w:sz="2" w:space="8" w:color="000000"/>
          <w:shd w:fill="F9F9F9" w:val="clear"/>
        </w:rPr>
        <w:t xml:space="preserve">© 2026 Acme Corp. Internal use only — reproduction, export, or redistribution of this letterhead template outside the firm is prohibited. </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cme Sans">
    <w:altName w:val="Arial"/>
    <w:charset w:val="01" w:characterSet="utf-8"/>
    <w:family w:val="auto"/>
    <w:pitch w:val="default"/>
  </w:font>
  <w:font w:name="Noto Sans">
    <w:charset w:val="01" w:characterSet="utf-8"/>
    <w:family w:val="auto"/>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before="1440" w:after="1440"/>
      <w:ind w:start="1440" w:end="1440"/>
    </w:pPr>
    <w:rPr>
      <w:rFonts w:ascii="Acme Sans;Arial;sans-serif" w:hAnsi="Acme Sans;Arial;sans-serif" w:eastAsia="Acme Sans;Arial;sans-serif" w:cs="Acme Sans;Arial;sans-serif"/>
      <w:color w:val="000000"/>
      <w:sz w:val="22"/>
      <w:szCs w:val="22"/>
      <w:lang w:val="en-US" w:eastAsia="zh-CN" w:bidi="hi-IN"/>
    </w:rPr>
  </w:style>
  <w:style w:type="paragraph" w:styleId="Heading1">
    <w:name w:val="Heading 1"/>
    <w:basedOn w:val="Heading"/>
    <w:next w:val="BodyText"/>
    <w:qFormat/>
    <w:pPr>
      <w:spacing w:before="240" w:after="75"/>
      <w:jc w:val="center"/>
    </w:pPr>
    <w:rPr>
      <w:rFonts w:ascii="Noto Sans" w:hAnsi="Noto Sans"/>
      <w:b/>
      <w:bCs/>
      <w:color w:val="003399"/>
      <w:sz w:val="36"/>
      <w:szCs w:val="36"/>
    </w:rPr>
  </w:style>
  <w:style w:type="paragraph" w:styleId="Heading2">
    <w:name w:val="Heading 2"/>
    <w:basedOn w:val="Heading"/>
    <w:next w:val="BodyText"/>
    <w:qFormat/>
    <w:pPr>
      <w:pBdr>
        <w:bottom w:val="single" w:sz="2" w:space="4" w:color="003399"/>
      </w:pBdr>
      <w:spacing w:before="300" w:after="120"/>
      <w:outlineLvl w:val="1"/>
    </w:pPr>
    <w:rPr>
      <w:rFonts w:ascii="Liberation Serif" w:hAnsi="Liberation Serif" w:eastAsia="Noto Serif CJK SC" w:cs="Noto Sans Devanagari"/>
      <w:b/>
      <w:bCs/>
      <w:color w:val="003399"/>
      <w:sz w:val="28"/>
      <w:szCs w:val="28"/>
    </w:rPr>
  </w:style>
  <w:style w:type="paragraph" w:styleId="Heading3">
    <w:name w:val="Heading 3"/>
    <w:basedOn w:val="Heading"/>
    <w:next w:val="BodyText"/>
    <w:qFormat/>
    <w:pPr>
      <w:spacing w:before="225" w:after="120"/>
      <w:outlineLvl w:val="2"/>
    </w:pPr>
    <w:rPr>
      <w:rFonts w:ascii="Liberation Serif" w:hAnsi="Liberation Serif" w:eastAsia="Noto Serif CJK SC" w:cs="Noto Sans Devanagari"/>
      <w:b/>
      <w:bCs/>
      <w:color w:val="333333"/>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start"/>
    </w:pPr>
    <w:rPr/>
  </w:style>
  <w:style w:type="paragraph" w:styleId="Footer">
    <w:name w:val="Footer"/>
    <w:basedOn w:val="Normal"/>
    <w:pPr>
      <w:suppressLineNumbers/>
      <w:tabs>
        <w:tab w:val="clear" w:pos="1134"/>
        <w:tab w:val="center" w:pos="6258" w:leader="none"/>
        <w:tab w:val="right" w:pos="11077" w:leader="none"/>
      </w:tabs>
    </w:pPr>
    <w:rPr/>
  </w:style>
  <w:style w:type="paragraph" w:styleId="Header">
    <w:name w:val="Header"/>
    <w:basedOn w:val="Normal"/>
    <w:pPr>
      <w:suppressLineNumbers/>
      <w:tabs>
        <w:tab w:val="clear" w:pos="1134"/>
        <w:tab w:val="center" w:pos="6258" w:leader="none"/>
        <w:tab w:val="right" w:pos="11077" w:leader="none"/>
      </w:tabs>
    </w:pPr>
    <w:rPr/>
  </w:style>
  <w:style w:type="paragraph" w:styleId="HeaderandFooter">
    <w:name w:val="Header and Footer"/>
    <w:basedOn w:val="Normal"/>
    <w:qFormat/>
    <w:pPr>
      <w:suppressLineNumbers/>
      <w:tabs>
        <w:tab w:val="clear" w:pos="1134"/>
        <w:tab w:val="center" w:pos="6259" w:leader="none"/>
        <w:tab w:val="right" w:pos="1107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F2F2F2" w:val="clear"/>
      <w:jc w:val="star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