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
        <w:jc w:val="start"/>
        <w:rPr/>
      </w:pPr>
      <w:r>
        <w:rPr/>
        <w:t>BrightLane Supplies Ltd.</w:t>
      </w:r>
    </w:p>
    <w:p>
      <w:pPr>
        <w:pStyle w:val="BodyText"/>
        <w:bidi w:val="0"/>
        <w:jc w:val="start"/>
        <w:rPr/>
      </w:pPr>
      <w:r>
        <w:rPr/>
        <w:t>18 Harbor Road</w:t>
        <w:br/>
        <w:t>Brightwater, BW2 4QT</w:t>
      </w:r>
    </w:p>
    <w:p>
      <w:pPr>
        <w:pStyle w:val="BodyTextdraft"/>
        <w:bidi w:val="0"/>
        <w:rPr/>
      </w:pPr>
      <w:r>
        <w:rPr>
          <w:rStyle w:val="Strong"/>
          <w:b/>
          <w:bCs/>
          <w:u w:val="single"/>
        </w:rPr>
        <w:t>DRAFT — DO NOT ISSUE</w:t>
      </w:r>
    </w:p>
    <w:p>
      <w:pPr>
        <w:pStyle w:val="Heading2"/>
        <w:bidi w:val="0"/>
        <w:jc w:val="start"/>
        <w:rPr/>
      </w:pPr>
      <w:r>
        <w:rPr/>
        <w:t>INVOICE No. 2024-118</w:t>
      </w:r>
    </w:p>
    <w:p>
      <w:pPr>
        <w:pStyle w:val="BodyText"/>
        <w:bidi w:val="0"/>
        <w:jc w:val="start"/>
        <w:rPr/>
      </w:pPr>
      <w:r>
        <w:rPr>
          <w:rStyle w:val="Strong"/>
        </w:rPr>
        <w:t>Date:</w:t>
      </w:r>
      <w:r>
        <w:rPr/>
        <w:t xml:space="preserve"> 15 March 2024</w:t>
      </w:r>
    </w:p>
    <w:p>
      <w:pPr>
        <w:pStyle w:val="Heading3"/>
        <w:bidi w:val="0"/>
        <w:jc w:val="start"/>
        <w:rPr/>
      </w:pPr>
      <w:r>
        <w:rPr/>
        <w:t>Bill to:</w:t>
      </w:r>
    </w:p>
    <w:p>
      <w:pPr>
        <w:pStyle w:val="BodyText"/>
        <w:bidi w:val="0"/>
        <w:jc w:val="start"/>
        <w:rPr/>
      </w:pPr>
      <w:r>
        <w:rPr/>
        <w:t>Harborview Retail Group</w:t>
        <w:br/>
        <w:t>42 Commerce Street</w:t>
        <w:br/>
        <w:t>Brightwater, BW1 9AA</w:t>
      </w:r>
    </w:p>
    <w:p>
      <w:pPr>
        <w:pStyle w:val="Heading3"/>
        <w:bidi w:val="0"/>
        <w:jc w:val="start"/>
        <w:rPr/>
      </w:pPr>
      <w:r>
        <w:rPr/>
        <w:t>Supplier:</w:t>
      </w:r>
    </w:p>
    <w:p>
      <w:pPr>
        <w:pStyle w:val="BodyText"/>
        <w:bidi w:val="0"/>
        <w:jc w:val="start"/>
        <w:rPr/>
      </w:pPr>
      <w:r>
        <w:rPr/>
        <w:t>BrightLane Supplies Ltd.</w:t>
        <w:br/>
        <w:t>18 Harbor Road, Brightwater, BW2 4QT</w:t>
      </w:r>
    </w:p>
    <w:p>
      <w:pPr>
        <w:pStyle w:val="Heading3"/>
        <w:bidi w:val="0"/>
        <w:jc w:val="start"/>
        <w:rPr/>
      </w:pPr>
      <w:r>
        <w:rPr/>
        <w:t>Payment terms:</w:t>
      </w:r>
    </w:p>
    <w:p>
      <w:pPr>
        <w:pStyle w:val="BodyText"/>
        <w:bidi w:val="0"/>
        <w:jc w:val="start"/>
        <w:rPr/>
      </w:pPr>
      <w:r>
        <w:rPr/>
        <w:t>Due within 30 days of invoice date.</w:t>
      </w:r>
    </w:p>
    <w:p>
      <w:pPr>
        <w:pStyle w:val="BodyText"/>
        <w:bidi w:val="0"/>
        <w:jc w:val="start"/>
        <w:rPr/>
      </w:pPr>
      <w:r>
        <w:rPr>
          <w:rStyle w:val="Strong"/>
        </w:rPr>
        <w:t>Bank account details:</w:t>
      </w:r>
      <w:r>
        <w:rPr/>
        <w:t xml:space="preserve"> Account: 987654321, Sort Code: 44-55-66</w:t>
      </w:r>
    </w:p>
    <w:p>
      <w:pPr>
        <w:pStyle w:val="Heading2"/>
        <w:bidi w:val="0"/>
        <w:jc w:val="start"/>
        <w:rPr/>
      </w:pPr>
      <w:r>
        <w:rPr/>
        <w:t>Line items</w:t>
      </w:r>
    </w:p>
    <w:tbl>
      <w:tblPr>
        <w:tblW w:w="4309" w:type="dxa"/>
        <w:jc w:val="start"/>
        <w:tblInd w:w="0" w:type="dxa"/>
        <w:tblLayout w:type="fixed"/>
        <w:tblCellMar>
          <w:top w:w="28" w:type="dxa"/>
          <w:start w:w="28" w:type="dxa"/>
          <w:bottom w:w="28" w:type="dxa"/>
          <w:end w:w="28" w:type="dxa"/>
        </w:tblCellMar>
      </w:tblPr>
      <w:tblGrid>
        <w:gridCol w:w="1341"/>
        <w:gridCol w:w="1086"/>
        <w:gridCol w:w="781"/>
        <w:gridCol w:w="1101"/>
      </w:tblGrid>
      <w:tr>
        <w:trPr/>
        <w:tc>
          <w:tcPr>
            <w:tcW w:w="1341" w:type="dxa"/>
            <w:tcBorders/>
            <w:vAlign w:val="center"/>
          </w:tcPr>
          <w:p>
            <w:pPr>
              <w:pStyle w:val="TableHeading"/>
              <w:suppressLineNumbers/>
              <w:shd w:fill="F2F2F2" w:val="clear"/>
              <w:bidi w:val="0"/>
              <w:spacing w:before="80" w:after="80"/>
              <w:jc w:val="start"/>
              <w:rPr/>
            </w:pPr>
            <w:r>
              <w:rPr/>
              <w:t>Line item</w:t>
            </w:r>
          </w:p>
        </w:tc>
        <w:tc>
          <w:tcPr>
            <w:tcW w:w="1086" w:type="dxa"/>
            <w:tcBorders/>
            <w:vAlign w:val="center"/>
          </w:tcPr>
          <w:p>
            <w:pPr>
              <w:pStyle w:val="TableHeading"/>
              <w:suppressLineNumbers/>
              <w:shd w:fill="F2F2F2" w:val="clear"/>
              <w:bidi w:val="0"/>
              <w:spacing w:before="80" w:after="80"/>
              <w:jc w:val="start"/>
              <w:rPr/>
            </w:pPr>
            <w:r>
              <w:rPr/>
              <w:t>Quantity</w:t>
            </w:r>
          </w:p>
        </w:tc>
        <w:tc>
          <w:tcPr>
            <w:tcW w:w="781" w:type="dxa"/>
            <w:tcBorders/>
            <w:vAlign w:val="center"/>
          </w:tcPr>
          <w:p>
            <w:pPr>
              <w:pStyle w:val="TableHeading"/>
              <w:suppressLineNumbers/>
              <w:shd w:fill="F2F2F2" w:val="clear"/>
              <w:bidi w:val="0"/>
              <w:spacing w:before="80" w:after="80"/>
              <w:jc w:val="start"/>
              <w:rPr/>
            </w:pPr>
            <w:r>
              <w:rPr/>
              <w:t>Unit price</w:t>
            </w:r>
          </w:p>
        </w:tc>
        <w:tc>
          <w:tcPr>
            <w:tcW w:w="1101" w:type="dxa"/>
            <w:tcBorders/>
            <w:vAlign w:val="center"/>
          </w:tcPr>
          <w:p>
            <w:pPr>
              <w:pStyle w:val="TableHeading"/>
              <w:suppressLineNumbers/>
              <w:shd w:fill="F2F2F2" w:val="clear"/>
              <w:bidi w:val="0"/>
              <w:spacing w:before="80" w:after="80"/>
              <w:jc w:val="start"/>
              <w:rPr/>
            </w:pPr>
            <w:r>
              <w:rPr/>
              <w:t>Amount</w:t>
            </w:r>
          </w:p>
        </w:tc>
      </w:tr>
      <w:tr>
        <w:trPr/>
        <w:tc>
          <w:tcPr>
            <w:tcW w:w="1341" w:type="dxa"/>
            <w:tcBorders/>
            <w:vAlign w:val="center"/>
          </w:tcPr>
          <w:p>
            <w:pPr>
              <w:pStyle w:val="TableContents"/>
              <w:bidi w:val="0"/>
              <w:spacing w:before="80" w:after="80"/>
              <w:jc w:val="start"/>
              <w:rPr/>
            </w:pPr>
            <w:r>
              <w:rPr/>
              <w:t>1 x Storage pallets</w:t>
            </w:r>
          </w:p>
        </w:tc>
        <w:tc>
          <w:tcPr>
            <w:tcW w:w="1086" w:type="dxa"/>
            <w:tcBorders/>
            <w:vAlign w:val="center"/>
          </w:tcPr>
          <w:p>
            <w:pPr>
              <w:pStyle w:val="TableContents"/>
              <w:bidi w:val="0"/>
              <w:spacing w:before="80" w:after="80"/>
              <w:ind w:hanging="0" w:start="0" w:end="0"/>
              <w:jc w:val="start"/>
              <w:rPr/>
            </w:pPr>
            <w:r>
              <w:rPr/>
              <w:t>12 units</w:t>
            </w:r>
          </w:p>
        </w:tc>
        <w:tc>
          <w:tcPr>
            <w:tcW w:w="781" w:type="dxa"/>
            <w:tcBorders/>
            <w:vAlign w:val="center"/>
          </w:tcPr>
          <w:p>
            <w:pPr>
              <w:pStyle w:val="TableContents"/>
              <w:bidi w:val="0"/>
              <w:spacing w:before="80" w:after="80"/>
              <w:ind w:hanging="0" w:start="0" w:end="0"/>
              <w:jc w:val="end"/>
              <w:rPr/>
            </w:pPr>
            <w:r>
              <w:rPr/>
              <w:t>120.00</w:t>
            </w:r>
          </w:p>
        </w:tc>
        <w:tc>
          <w:tcPr>
            <w:tcW w:w="1101" w:type="dxa"/>
            <w:tcBorders/>
            <w:vAlign w:val="center"/>
          </w:tcPr>
          <w:p>
            <w:pPr>
              <w:pStyle w:val="TableContents"/>
              <w:bidi w:val="0"/>
              <w:spacing w:before="80" w:after="80"/>
              <w:jc w:val="end"/>
              <w:rPr/>
            </w:pPr>
            <w:r>
              <w:rPr/>
              <w:t>1,440.00</w:t>
            </w:r>
          </w:p>
        </w:tc>
      </w:tr>
      <w:tr>
        <w:trPr/>
        <w:tc>
          <w:tcPr>
            <w:tcW w:w="1341" w:type="dxa"/>
            <w:tcBorders/>
            <w:vAlign w:val="center"/>
          </w:tcPr>
          <w:p>
            <w:pPr>
              <w:pStyle w:val="TableContents"/>
              <w:bidi w:val="0"/>
              <w:spacing w:before="80" w:after="80"/>
              <w:jc w:val="start"/>
              <w:rPr/>
            </w:pPr>
            <w:r>
              <w:rPr/>
              <w:t>1 x Warehouse shelving</w:t>
            </w:r>
          </w:p>
        </w:tc>
        <w:tc>
          <w:tcPr>
            <w:tcW w:w="1086" w:type="dxa"/>
            <w:tcBorders/>
            <w:vAlign w:val="center"/>
          </w:tcPr>
          <w:p>
            <w:pPr>
              <w:pStyle w:val="TableContents"/>
              <w:bidi w:val="0"/>
              <w:spacing w:before="80" w:after="80"/>
              <w:ind w:hanging="0" w:start="0" w:end="0"/>
              <w:jc w:val="start"/>
              <w:rPr/>
            </w:pPr>
            <w:r>
              <w:rPr/>
              <w:t>4 units</w:t>
            </w:r>
          </w:p>
        </w:tc>
        <w:tc>
          <w:tcPr>
            <w:tcW w:w="781" w:type="dxa"/>
            <w:tcBorders/>
            <w:vAlign w:val="center"/>
          </w:tcPr>
          <w:p>
            <w:pPr>
              <w:pStyle w:val="TableContents"/>
              <w:bidi w:val="0"/>
              <w:spacing w:before="80" w:after="80"/>
              <w:ind w:hanging="0" w:start="0" w:end="0"/>
              <w:jc w:val="end"/>
              <w:rPr/>
            </w:pPr>
            <w:r>
              <w:rPr/>
              <w:t>580.00</w:t>
            </w:r>
          </w:p>
        </w:tc>
        <w:tc>
          <w:tcPr>
            <w:tcW w:w="1101" w:type="dxa"/>
            <w:tcBorders/>
            <w:vAlign w:val="center"/>
          </w:tcPr>
          <w:p>
            <w:pPr>
              <w:pStyle w:val="TableContents"/>
              <w:bidi w:val="0"/>
              <w:spacing w:before="80" w:after="80"/>
              <w:ind w:hanging="0" w:start="0" w:end="0"/>
              <w:jc w:val="end"/>
              <w:rPr/>
            </w:pPr>
            <w:r>
              <w:rPr/>
              <w:t>2,320.00</w:t>
            </w:r>
          </w:p>
        </w:tc>
      </w:tr>
      <w:tr>
        <w:trPr/>
        <w:tc>
          <w:tcPr>
            <w:tcW w:w="3208" w:type="dxa"/>
            <w:gridSpan w:val="3"/>
            <w:tcBorders/>
            <w:vAlign w:val="center"/>
          </w:tcPr>
          <w:p>
            <w:pPr>
              <w:pStyle w:val="TableContents"/>
              <w:bidi w:val="0"/>
              <w:spacing w:before="80" w:after="80"/>
              <w:ind w:hanging="0" w:start="0" w:end="0"/>
              <w:jc w:val="end"/>
              <w:rPr/>
            </w:pPr>
            <w:r>
              <w:rPr>
                <w:rStyle w:val="Strong"/>
              </w:rPr>
              <w:t>Subtotal</w:t>
            </w:r>
          </w:p>
        </w:tc>
        <w:tc>
          <w:tcPr>
            <w:tcW w:w="1101" w:type="dxa"/>
            <w:tcBorders/>
            <w:vAlign w:val="center"/>
          </w:tcPr>
          <w:p>
            <w:pPr>
              <w:pStyle w:val="TableContents"/>
              <w:bidi w:val="0"/>
              <w:spacing w:before="80" w:after="80"/>
              <w:ind w:hanging="0" w:start="0" w:end="0"/>
              <w:jc w:val="end"/>
              <w:rPr/>
            </w:pPr>
            <w:r>
              <w:rPr>
                <w:rStyle w:val="Strong"/>
              </w:rPr>
              <w:t>3,760.00</w:t>
            </w:r>
          </w:p>
        </w:tc>
      </w:tr>
      <w:tr>
        <w:trPr/>
        <w:tc>
          <w:tcPr>
            <w:tcW w:w="3208" w:type="dxa"/>
            <w:gridSpan w:val="3"/>
            <w:tcBorders/>
            <w:vAlign w:val="center"/>
          </w:tcPr>
          <w:p>
            <w:pPr>
              <w:pStyle w:val="TableContents"/>
              <w:bidi w:val="0"/>
              <w:spacing w:before="80" w:after="80"/>
              <w:ind w:hanging="0" w:start="0" w:end="0"/>
              <w:jc w:val="end"/>
              <w:rPr/>
            </w:pPr>
            <w:r>
              <w:rPr>
                <w:rStyle w:val="Strong"/>
              </w:rPr>
              <w:t>Total due</w:t>
            </w:r>
          </w:p>
        </w:tc>
        <w:tc>
          <w:tcPr>
            <w:tcW w:w="1101" w:type="dxa"/>
            <w:tcBorders/>
            <w:vAlign w:val="center"/>
          </w:tcPr>
          <w:p>
            <w:pPr>
              <w:pStyle w:val="TableContents"/>
              <w:bidi w:val="0"/>
              <w:spacing w:before="80" w:after="80"/>
              <w:jc w:val="end"/>
              <w:rPr/>
            </w:pPr>
            <w:r>
              <w:rPr>
                <w:rStyle w:val="Strong"/>
              </w:rPr>
              <w:t>3,760.00</w:t>
            </w:r>
          </w:p>
        </w:tc>
      </w:tr>
    </w:tbl>
    <w:p>
      <w:pPr>
        <w:pStyle w:val="Heading2"/>
        <w:bidi w:val="0"/>
        <w:jc w:val="start"/>
        <w:rPr/>
      </w:pPr>
      <w:r>
        <w:rPr/>
        <w:t>Payment instructions</w:t>
      </w:r>
    </w:p>
    <w:p>
      <w:pPr>
        <w:pStyle w:val="BodyText"/>
        <w:bidi w:val="0"/>
        <w:jc w:val="start"/>
        <w:rPr/>
      </w:pPr>
      <w:r>
        <w:rPr/>
        <w:t>Payments should be made by bank transfer to the account details shown above. Quote invoice number 2024-118 in the payment reference so that the payment can be matched promptly to this draft invoice. If payment is made by a third party, provide a written confirmation to the Finance office before the due date.</w:t>
      </w:r>
    </w:p>
    <w:p>
      <w:pPr>
        <w:pStyle w:val="Heading2"/>
        <w:bidi w:val="0"/>
        <w:jc w:val="start"/>
        <w:rPr/>
      </w:pPr>
      <w:r>
        <w:rPr/>
        <w:t>Notes</w:t>
      </w:r>
    </w:p>
    <w:p>
      <w:pPr>
        <w:pStyle w:val="BodyText"/>
        <w:bidi w:val="0"/>
        <w:jc w:val="start"/>
        <w:rPr/>
      </w:pPr>
      <w:r>
        <w:rPr/>
        <w:t xml:space="preserve">This </w:t>
      </w:r>
      <w:r>
        <w:rPr>
          <w:rStyle w:val="Emphasis"/>
        </w:rPr>
        <w:t>draft</w:t>
      </w:r>
      <w:r>
        <w:rPr/>
        <w:t xml:space="preserve"> is for internal review only and must not be issued until all quantities, descriptions, pricing, and delivery details have been checked against the purchase order and goods received records. Any correction should be recorded in the revision history before the invoice is released.</w:t>
      </w:r>
    </w:p>
    <w:p>
      <w:pPr>
        <w:pStyle w:val="BodyText"/>
        <w:bidi w:val="0"/>
        <w:jc w:val="start"/>
        <w:rPr/>
      </w:pPr>
      <w:r>
        <w:rPr/>
        <w:t>Goods are supplied subject to the BrightLane Supplies Ltd. standard terms and conditions. If any item is damaged, incomplete, or not as described, contact the Finance office within 10 days of delivery and quote the invoice number.</w:t>
      </w:r>
    </w:p>
    <w:p>
      <w:pPr>
        <w:pStyle w:val="Heading2"/>
        <w:bidi w:val="0"/>
        <w:jc w:val="start"/>
        <w:rPr/>
      </w:pPr>
      <w:r>
        <w:rPr/>
        <w:t>Terms and conditions</w:t>
      </w:r>
    </w:p>
    <w:p>
      <w:pPr>
        <w:pStyle w:val="BodyText"/>
        <w:numPr>
          <w:ilvl w:val="0"/>
          <w:numId w:val="1"/>
        </w:numPr>
        <w:tabs>
          <w:tab w:val="clear" w:pos="1134"/>
          <w:tab w:val="left" w:pos="789" w:leader="none"/>
        </w:tabs>
        <w:bidi w:val="0"/>
        <w:spacing w:before="80" w:after="0"/>
        <w:ind w:hanging="283" w:start="789"/>
        <w:jc w:val="start"/>
        <w:rPr/>
      </w:pPr>
      <w:r>
        <w:rPr/>
        <w:t xml:space="preserve">Payment is due within 30 days of invoice date. </w:t>
      </w:r>
    </w:p>
    <w:p>
      <w:pPr>
        <w:pStyle w:val="BodyText"/>
        <w:numPr>
          <w:ilvl w:val="0"/>
          <w:numId w:val="1"/>
        </w:numPr>
        <w:tabs>
          <w:tab w:val="clear" w:pos="1134"/>
          <w:tab w:val="left" w:pos="789" w:leader="none"/>
        </w:tabs>
        <w:bidi w:val="0"/>
        <w:spacing w:before="80" w:after="0"/>
        <w:ind w:hanging="283" w:start="789"/>
        <w:jc w:val="start"/>
        <w:rPr/>
      </w:pPr>
      <w:r>
        <w:rPr/>
        <w:t xml:space="preserve">Bank transfers are the preferred method of payment. Payment is considered received only when the funds have cleared in the account shown above. </w:t>
      </w:r>
    </w:p>
    <w:p>
      <w:pPr>
        <w:pStyle w:val="BodyText"/>
        <w:numPr>
          <w:ilvl w:val="0"/>
          <w:numId w:val="1"/>
        </w:numPr>
        <w:tabs>
          <w:tab w:val="clear" w:pos="1134"/>
          <w:tab w:val="left" w:pos="789" w:leader="none"/>
        </w:tabs>
        <w:bidi w:val="0"/>
        <w:spacing w:before="80" w:after="0"/>
        <w:ind w:hanging="283" w:start="789"/>
        <w:jc w:val="start"/>
        <w:rPr/>
      </w:pPr>
      <w:r>
        <w:rPr/>
        <w:t xml:space="preserve">Late payment may be subject to interest at the rate permitted by law, calculated from the due date until the date of actual payment. </w:t>
      </w:r>
    </w:p>
    <w:p>
      <w:pPr>
        <w:pStyle w:val="BodyText"/>
        <w:numPr>
          <w:ilvl w:val="0"/>
          <w:numId w:val="1"/>
        </w:numPr>
        <w:tabs>
          <w:tab w:val="clear" w:pos="1134"/>
          <w:tab w:val="left" w:pos="789" w:leader="none"/>
        </w:tabs>
        <w:bidi w:val="0"/>
        <w:spacing w:before="80" w:after="0"/>
        <w:ind w:hanging="283" w:start="789"/>
        <w:jc w:val="start"/>
        <w:rPr/>
      </w:pPr>
      <w:r>
        <w:rPr/>
        <w:t xml:space="preserve">All sales are final unless a written exception is agreed by BrightLane Supplies Ltd. before the goods are dispatched. </w:t>
      </w:r>
    </w:p>
    <w:p>
      <w:pPr>
        <w:pStyle w:val="BodyText"/>
        <w:numPr>
          <w:ilvl w:val="0"/>
          <w:numId w:val="1"/>
        </w:numPr>
        <w:tabs>
          <w:tab w:val="clear" w:pos="1134"/>
          <w:tab w:val="left" w:pos="789" w:leader="none"/>
        </w:tabs>
        <w:bidi w:val="0"/>
        <w:spacing w:before="80" w:after="0"/>
        <w:ind w:hanging="283" w:start="789"/>
        <w:jc w:val="start"/>
        <w:rPr/>
      </w:pPr>
      <w:r>
        <w:rPr/>
        <w:t xml:space="preserve">By accepting this invoice, the customer confirms that the goods or services described have been received in accordance with the order and that the invoice details are correct. </w:t>
      </w:r>
    </w:p>
    <w:p>
      <w:pPr>
        <w:pStyle w:val="BodyText"/>
        <w:numPr>
          <w:ilvl w:val="0"/>
          <w:numId w:val="1"/>
        </w:numPr>
        <w:tabs>
          <w:tab w:val="clear" w:pos="1134"/>
          <w:tab w:val="left" w:pos="789" w:leader="none"/>
        </w:tabs>
        <w:bidi w:val="0"/>
        <w:spacing w:before="80" w:after="0"/>
        <w:ind w:hanging="283" w:start="789"/>
        <w:jc w:val="start"/>
        <w:rPr/>
      </w:pPr>
      <w:r>
        <w:rPr/>
        <w:t xml:space="preserve">BrightLane Supplies Ltd. may revise prices with written notice, except where a fixed price has been agreed in a purchase order or contract. </w:t>
      </w:r>
    </w:p>
    <w:p>
      <w:pPr>
        <w:pStyle w:val="BodyText"/>
        <w:numPr>
          <w:ilvl w:val="0"/>
          <w:numId w:val="1"/>
        </w:numPr>
        <w:tabs>
          <w:tab w:val="clear" w:pos="1134"/>
          <w:tab w:val="left" w:pos="789" w:leader="none"/>
        </w:tabs>
        <w:bidi w:val="0"/>
        <w:spacing w:before="80" w:after="0"/>
        <w:ind w:hanging="283" w:start="789"/>
        <w:jc w:val="start"/>
        <w:rPr/>
      </w:pPr>
      <w:r>
        <w:rPr/>
        <w:t xml:space="preserve">This invoice and any related correspondence are confidential and should be handled in accordance with the customer's and supplier's data protection policies. </w:t>
      </w:r>
    </w:p>
    <w:p>
      <w:pPr>
        <w:pStyle w:val="BodyText"/>
        <w:numPr>
          <w:ilvl w:val="0"/>
          <w:numId w:val="1"/>
        </w:numPr>
        <w:tabs>
          <w:tab w:val="clear" w:pos="1134"/>
          <w:tab w:val="left" w:pos="789" w:leader="none"/>
        </w:tabs>
        <w:bidi w:val="0"/>
        <w:ind w:hanging="283" w:start="789"/>
        <w:jc w:val="start"/>
        <w:rPr/>
      </w:pPr>
      <w:r>
        <w:rPr/>
        <w:t xml:space="preserve">Any dispute should be raised in writing to the Finance office, referencing invoice number 2024-118, within 14 days of the invoice date. </w:t>
      </w:r>
    </w:p>
    <w:p>
      <w:pPr>
        <w:pStyle w:val="Heading2"/>
        <w:bidi w:val="0"/>
        <w:jc w:val="start"/>
        <w:rPr/>
      </w:pPr>
      <w:r>
        <w:rPr/>
        <w:t>Document control</w:t>
      </w:r>
    </w:p>
    <w:tbl>
      <w:tblPr>
        <w:tblW w:w="4242" w:type="dxa"/>
        <w:jc w:val="start"/>
        <w:tblInd w:w="0" w:type="dxa"/>
        <w:tblLayout w:type="fixed"/>
        <w:tblCellMar>
          <w:top w:w="28" w:type="dxa"/>
          <w:start w:w="28" w:type="dxa"/>
          <w:bottom w:w="28" w:type="dxa"/>
          <w:end w:w="28" w:type="dxa"/>
        </w:tblCellMar>
      </w:tblPr>
      <w:tblGrid>
        <w:gridCol w:w="1626"/>
        <w:gridCol w:w="2616"/>
      </w:tblGrid>
      <w:tr>
        <w:trPr/>
        <w:tc>
          <w:tcPr>
            <w:tcW w:w="1626" w:type="dxa"/>
            <w:tcBorders/>
            <w:vAlign w:val="center"/>
          </w:tcPr>
          <w:p>
            <w:pPr>
              <w:pStyle w:val="TableHeading"/>
              <w:suppressLineNumbers/>
              <w:shd w:fill="F2F2F2" w:val="clear"/>
              <w:bidi w:val="0"/>
              <w:spacing w:before="80" w:after="80"/>
              <w:jc w:val="start"/>
              <w:rPr/>
            </w:pPr>
            <w:r>
              <w:rPr/>
              <w:t>Field</w:t>
            </w:r>
          </w:p>
        </w:tc>
        <w:tc>
          <w:tcPr>
            <w:tcW w:w="2616" w:type="dxa"/>
            <w:tcBorders/>
            <w:vAlign w:val="center"/>
          </w:tcPr>
          <w:p>
            <w:pPr>
              <w:pStyle w:val="TableHeading"/>
              <w:suppressLineNumbers/>
              <w:shd w:fill="F2F2F2" w:val="clear"/>
              <w:bidi w:val="0"/>
              <w:spacing w:before="80" w:after="80"/>
              <w:jc w:val="start"/>
              <w:rPr/>
            </w:pPr>
            <w:r>
              <w:rPr/>
              <w:t>Detail</w:t>
            </w:r>
          </w:p>
        </w:tc>
      </w:tr>
      <w:tr>
        <w:trPr/>
        <w:tc>
          <w:tcPr>
            <w:tcW w:w="1626" w:type="dxa"/>
            <w:tcBorders/>
            <w:vAlign w:val="center"/>
          </w:tcPr>
          <w:p>
            <w:pPr>
              <w:pStyle w:val="TableContents"/>
              <w:bidi w:val="0"/>
              <w:spacing w:before="80" w:after="80"/>
              <w:jc w:val="start"/>
              <w:rPr/>
            </w:pPr>
            <w:r>
              <w:rPr/>
              <w:t>Document title</w:t>
            </w:r>
          </w:p>
        </w:tc>
        <w:tc>
          <w:tcPr>
            <w:tcW w:w="2616" w:type="dxa"/>
            <w:tcBorders/>
            <w:vAlign w:val="center"/>
          </w:tcPr>
          <w:p>
            <w:pPr>
              <w:pStyle w:val="TableContents"/>
              <w:bidi w:val="0"/>
              <w:spacing w:before="80" w:after="80"/>
              <w:jc w:val="start"/>
              <w:rPr/>
            </w:pPr>
            <w:r>
              <w:rPr/>
              <w:t>Vendor invoice template</w:t>
            </w:r>
          </w:p>
        </w:tc>
      </w:tr>
      <w:tr>
        <w:trPr/>
        <w:tc>
          <w:tcPr>
            <w:tcW w:w="1626" w:type="dxa"/>
            <w:tcBorders/>
            <w:vAlign w:val="center"/>
          </w:tcPr>
          <w:p>
            <w:pPr>
              <w:pStyle w:val="TableContents"/>
              <w:bidi w:val="0"/>
              <w:spacing w:before="80" w:after="80"/>
              <w:jc w:val="start"/>
              <w:rPr/>
            </w:pPr>
            <w:r>
              <w:rPr/>
              <w:t>Status</w:t>
            </w:r>
          </w:p>
        </w:tc>
        <w:tc>
          <w:tcPr>
            <w:tcW w:w="2616" w:type="dxa"/>
            <w:tcBorders/>
            <w:vAlign w:val="center"/>
          </w:tcPr>
          <w:p>
            <w:pPr>
              <w:pStyle w:val="TableContents"/>
              <w:bidi w:val="0"/>
              <w:spacing w:before="80" w:after="80"/>
              <w:jc w:val="start"/>
              <w:rPr/>
            </w:pPr>
            <w:r>
              <w:rPr/>
              <w:t>Draft</w:t>
            </w:r>
          </w:p>
        </w:tc>
      </w:tr>
      <w:tr>
        <w:trPr/>
        <w:tc>
          <w:tcPr>
            <w:tcW w:w="1626" w:type="dxa"/>
            <w:tcBorders/>
            <w:vAlign w:val="center"/>
          </w:tcPr>
          <w:p>
            <w:pPr>
              <w:pStyle w:val="TableContents"/>
              <w:bidi w:val="0"/>
              <w:spacing w:before="80" w:after="80"/>
              <w:jc w:val="start"/>
              <w:rPr/>
            </w:pPr>
            <w:r>
              <w:rPr/>
              <w:t>Version</w:t>
            </w:r>
          </w:p>
        </w:tc>
        <w:tc>
          <w:tcPr>
            <w:tcW w:w="2616" w:type="dxa"/>
            <w:tcBorders/>
            <w:vAlign w:val="center"/>
          </w:tcPr>
          <w:p>
            <w:pPr>
              <w:pStyle w:val="TableContents"/>
              <w:bidi w:val="0"/>
              <w:spacing w:before="80" w:after="80"/>
              <w:jc w:val="start"/>
              <w:rPr/>
            </w:pPr>
            <w:r>
              <w:rPr/>
              <w:t>1.0</w:t>
            </w:r>
          </w:p>
        </w:tc>
      </w:tr>
      <w:tr>
        <w:trPr/>
        <w:tc>
          <w:tcPr>
            <w:tcW w:w="1626" w:type="dxa"/>
            <w:tcBorders/>
            <w:vAlign w:val="center"/>
          </w:tcPr>
          <w:p>
            <w:pPr>
              <w:pStyle w:val="TableContents"/>
              <w:bidi w:val="0"/>
              <w:spacing w:before="80" w:after="80"/>
              <w:jc w:val="start"/>
              <w:rPr/>
            </w:pPr>
            <w:r>
              <w:rPr/>
              <w:t>Owner</w:t>
            </w:r>
          </w:p>
        </w:tc>
        <w:tc>
          <w:tcPr>
            <w:tcW w:w="2616" w:type="dxa"/>
            <w:tcBorders/>
            <w:vAlign w:val="center"/>
          </w:tcPr>
          <w:p>
            <w:pPr>
              <w:pStyle w:val="TableContents"/>
              <w:bidi w:val="0"/>
              <w:spacing w:before="80" w:after="80"/>
              <w:jc w:val="start"/>
              <w:rPr/>
            </w:pPr>
            <w:r>
              <w:rPr/>
              <w:t>Finance office</w:t>
            </w:r>
          </w:p>
        </w:tc>
      </w:tr>
      <w:tr>
        <w:trPr/>
        <w:tc>
          <w:tcPr>
            <w:tcW w:w="1626" w:type="dxa"/>
            <w:tcBorders/>
            <w:vAlign w:val="center"/>
          </w:tcPr>
          <w:p>
            <w:pPr>
              <w:pStyle w:val="TableContents"/>
              <w:bidi w:val="0"/>
              <w:spacing w:before="80" w:after="80"/>
              <w:jc w:val="start"/>
              <w:rPr/>
            </w:pPr>
            <w:r>
              <w:rPr/>
              <w:t>Review date</w:t>
            </w:r>
          </w:p>
        </w:tc>
        <w:tc>
          <w:tcPr>
            <w:tcW w:w="2616" w:type="dxa"/>
            <w:tcBorders/>
            <w:vAlign w:val="center"/>
          </w:tcPr>
          <w:p>
            <w:pPr>
              <w:pStyle w:val="TableContents"/>
              <w:bidi w:val="0"/>
              <w:spacing w:before="80" w:after="80"/>
              <w:jc w:val="start"/>
              <w:rPr/>
            </w:pPr>
            <w:r>
              <w:rPr/>
              <w:t>15 March 2024</w:t>
            </w:r>
          </w:p>
        </w:tc>
      </w:tr>
      <w:tr>
        <w:trPr/>
        <w:tc>
          <w:tcPr>
            <w:tcW w:w="1626" w:type="dxa"/>
            <w:tcBorders/>
            <w:vAlign w:val="center"/>
          </w:tcPr>
          <w:p>
            <w:pPr>
              <w:pStyle w:val="TableContents"/>
              <w:bidi w:val="0"/>
              <w:spacing w:before="80" w:after="80"/>
              <w:jc w:val="start"/>
              <w:rPr/>
            </w:pPr>
            <w:r>
              <w:rPr/>
              <w:t>Next review</w:t>
            </w:r>
          </w:p>
        </w:tc>
        <w:tc>
          <w:tcPr>
            <w:tcW w:w="2616" w:type="dxa"/>
            <w:tcBorders/>
            <w:vAlign w:val="center"/>
          </w:tcPr>
          <w:p>
            <w:pPr>
              <w:pStyle w:val="TableContents"/>
              <w:bidi w:val="0"/>
              <w:spacing w:before="80" w:after="80"/>
              <w:jc w:val="start"/>
              <w:rPr/>
            </w:pPr>
            <w:r>
              <w:rPr/>
              <w:t>15 March 2025</w:t>
            </w:r>
          </w:p>
        </w:tc>
      </w:tr>
    </w:tbl>
    <w:p>
      <w:pPr>
        <w:pStyle w:val="Heading2"/>
        <w:bidi w:val="0"/>
        <w:jc w:val="start"/>
        <w:rPr/>
      </w:pPr>
      <w:r>
        <w:rPr/>
        <w:t>Revision history</w:t>
      </w:r>
    </w:p>
    <w:tbl>
      <w:tblPr>
        <w:tblW w:w="4309" w:type="dxa"/>
        <w:jc w:val="start"/>
        <w:tblInd w:w="0" w:type="dxa"/>
        <w:tblLayout w:type="fixed"/>
        <w:tblCellMar>
          <w:top w:w="28" w:type="dxa"/>
          <w:start w:w="28" w:type="dxa"/>
          <w:bottom w:w="28" w:type="dxa"/>
          <w:end w:w="28" w:type="dxa"/>
        </w:tblCellMar>
      </w:tblPr>
      <w:tblGrid>
        <w:gridCol w:w="824"/>
        <w:gridCol w:w="1011"/>
        <w:gridCol w:w="1441"/>
        <w:gridCol w:w="1033"/>
      </w:tblGrid>
      <w:tr>
        <w:trPr/>
        <w:tc>
          <w:tcPr>
            <w:tcW w:w="824" w:type="dxa"/>
            <w:tcBorders/>
            <w:vAlign w:val="center"/>
          </w:tcPr>
          <w:p>
            <w:pPr>
              <w:pStyle w:val="TableHeading"/>
              <w:suppressLineNumbers/>
              <w:shd w:fill="F2F2F2" w:val="clear"/>
              <w:bidi w:val="0"/>
              <w:spacing w:before="80" w:after="80"/>
              <w:jc w:val="start"/>
              <w:rPr/>
            </w:pPr>
            <w:r>
              <w:rPr/>
              <w:t>Date</w:t>
            </w:r>
          </w:p>
        </w:tc>
        <w:tc>
          <w:tcPr>
            <w:tcW w:w="1011" w:type="dxa"/>
            <w:tcBorders/>
            <w:vAlign w:val="center"/>
          </w:tcPr>
          <w:p>
            <w:pPr>
              <w:pStyle w:val="TableHeading"/>
              <w:suppressLineNumbers/>
              <w:shd w:fill="F2F2F2" w:val="clear"/>
              <w:bidi w:val="0"/>
              <w:spacing w:before="80" w:after="80"/>
              <w:jc w:val="start"/>
              <w:rPr/>
            </w:pPr>
            <w:r>
              <w:rPr/>
              <w:t>Version</w:t>
            </w:r>
          </w:p>
        </w:tc>
        <w:tc>
          <w:tcPr>
            <w:tcW w:w="1441" w:type="dxa"/>
            <w:tcBorders/>
            <w:vAlign w:val="center"/>
          </w:tcPr>
          <w:p>
            <w:pPr>
              <w:pStyle w:val="TableHeading"/>
              <w:suppressLineNumbers/>
              <w:shd w:fill="F2F2F2" w:val="clear"/>
              <w:bidi w:val="0"/>
              <w:spacing w:before="80" w:after="80"/>
              <w:jc w:val="start"/>
              <w:rPr/>
            </w:pPr>
            <w:r>
              <w:rPr/>
              <w:t>Description of change</w:t>
            </w:r>
          </w:p>
        </w:tc>
        <w:tc>
          <w:tcPr>
            <w:tcW w:w="1033" w:type="dxa"/>
            <w:tcBorders/>
            <w:vAlign w:val="center"/>
          </w:tcPr>
          <w:p>
            <w:pPr>
              <w:pStyle w:val="TableHeading"/>
              <w:suppressLineNumbers/>
              <w:shd w:fill="F2F2F2" w:val="clear"/>
              <w:bidi w:val="0"/>
              <w:spacing w:before="80" w:after="80"/>
              <w:jc w:val="start"/>
              <w:rPr/>
            </w:pPr>
            <w:r>
              <w:rPr/>
              <w:t>Author</w:t>
            </w:r>
          </w:p>
        </w:tc>
      </w:tr>
      <w:tr>
        <w:trPr/>
        <w:tc>
          <w:tcPr>
            <w:tcW w:w="824" w:type="dxa"/>
            <w:tcBorders/>
            <w:vAlign w:val="center"/>
          </w:tcPr>
          <w:p>
            <w:pPr>
              <w:pStyle w:val="TableContents"/>
              <w:bidi w:val="0"/>
              <w:spacing w:before="80" w:after="80"/>
              <w:jc w:val="start"/>
              <w:rPr/>
            </w:pPr>
            <w:r>
              <w:rPr/>
              <w:t>15 March 2024</w:t>
            </w:r>
          </w:p>
        </w:tc>
        <w:tc>
          <w:tcPr>
            <w:tcW w:w="1011" w:type="dxa"/>
            <w:tcBorders/>
            <w:vAlign w:val="center"/>
          </w:tcPr>
          <w:p>
            <w:pPr>
              <w:pStyle w:val="TableContents"/>
              <w:bidi w:val="0"/>
              <w:spacing w:before="80" w:after="80"/>
              <w:jc w:val="start"/>
              <w:rPr/>
            </w:pPr>
            <w:r>
              <w:rPr/>
              <w:t>1.0</w:t>
            </w:r>
          </w:p>
        </w:tc>
        <w:tc>
          <w:tcPr>
            <w:tcW w:w="1441" w:type="dxa"/>
            <w:tcBorders/>
            <w:vAlign w:val="center"/>
          </w:tcPr>
          <w:p>
            <w:pPr>
              <w:pStyle w:val="TableContents"/>
              <w:bidi w:val="0"/>
              <w:spacing w:before="80" w:after="80"/>
              <w:jc w:val="start"/>
              <w:rPr/>
            </w:pPr>
            <w:r>
              <w:rPr/>
              <w:t>Initial draft created for internal review.</w:t>
            </w:r>
          </w:p>
        </w:tc>
        <w:tc>
          <w:tcPr>
            <w:tcW w:w="1033" w:type="dxa"/>
            <w:tcBorders/>
            <w:vAlign w:val="center"/>
          </w:tcPr>
          <w:p>
            <w:pPr>
              <w:pStyle w:val="TableContents"/>
              <w:bidi w:val="0"/>
              <w:spacing w:before="80" w:after="80"/>
              <w:jc w:val="start"/>
              <w:rPr/>
            </w:pPr>
            <w:r>
              <w:rPr/>
              <w:t>Finance office</w:t>
            </w:r>
          </w:p>
        </w:tc>
      </w:tr>
    </w:tbl>
    <w:p>
      <w:pPr>
        <w:pStyle w:val="Heading2"/>
        <w:bidi w:val="0"/>
        <w:jc w:val="start"/>
        <w:rPr/>
      </w:pPr>
      <w:r>
        <w:rPr/>
        <w:t>Distribution</w:t>
      </w:r>
    </w:p>
    <w:p>
      <w:pPr>
        <w:pStyle w:val="BodyText"/>
        <w:bidi w:val="0"/>
        <w:jc w:val="start"/>
        <w:rPr/>
      </w:pPr>
      <w:r>
        <w:rPr/>
        <w:t>Finance office, BrightLane Supplies Ltd.; Harborview Retail Group, Finance office; file copy retained in the BrightLane Supplies Ltd. invoice register.</w:t>
      </w:r>
    </w:p>
    <w:p>
      <w:pPr>
        <w:pStyle w:val="BodyText"/>
        <w:bidi w:val="0"/>
        <w:spacing w:before="480" w:after="80"/>
        <w:ind w:hanging="0" w:start="0" w:end="0"/>
        <w:jc w:val="start"/>
        <w:rPr>
          <w:color w:val="444444"/>
          <w:sz w:val="18"/>
          <w:bdr w:val="single" w:sz="2" w:space="6" w:color="777777"/>
        </w:rPr>
      </w:pPr>
      <w:r>
        <w:rPr>
          <w:color w:val="444444"/>
          <w:sz w:val="18"/>
          <w:bdr w:val="single" w:sz="2" w:space="6" w:color="777777"/>
        </w:rPr>
        <w:t>BrightLane Supplies Ltd. — All sales final</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Helvetica"/>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before="1296" w:after="1296"/>
      <w:ind w:start="1296" w:end="1296"/>
    </w:pPr>
    <w:rPr>
      <w:rFonts w:ascii="Arial;Helvetica;sans-serif" w:hAnsi="Arial;Helvetica;sans-serif" w:eastAsia="Arial;Helvetica;sans-serif" w:cs="Arial;Helvetica;sans-serif"/>
      <w:color w:val="111111"/>
      <w:sz w:val="22"/>
      <w:szCs w:val="22"/>
      <w:lang w:val="en-US" w:eastAsia="zh-CN" w:bidi="hi-IN"/>
    </w:rPr>
  </w:style>
  <w:style w:type="paragraph" w:styleId="Heading1">
    <w:name w:val="Heading 1"/>
    <w:basedOn w:val="Heading"/>
    <w:next w:val="BodyText"/>
    <w:qFormat/>
    <w:pPr>
      <w:spacing w:before="240" w:after="40"/>
    </w:pPr>
    <w:rPr>
      <w:rFonts w:ascii="Noto Sans" w:hAnsi="Noto Sans"/>
      <w:b/>
      <w:bCs/>
      <w:sz w:val="36"/>
      <w:szCs w:val="36"/>
    </w:rPr>
  </w:style>
  <w:style w:type="paragraph" w:styleId="Heading2">
    <w:name w:val="Heading 2"/>
    <w:basedOn w:val="Heading"/>
    <w:next w:val="BodyText"/>
    <w:qFormat/>
    <w:pPr>
      <w:pBdr>
        <w:bottom w:val="single" w:sz="2" w:space="2" w:color="888888"/>
      </w:pBdr>
      <w:spacing w:before="360" w:after="120"/>
      <w:ind w:start="360" w:end="360"/>
      <w:outlineLvl w:val="1"/>
    </w:pPr>
    <w:rPr>
      <w:rFonts w:ascii="Liberation Serif" w:hAnsi="Liberation Serif" w:eastAsia="Noto Serif CJK SC" w:cs="Noto Sans Devanagari"/>
      <w:b/>
      <w:bCs/>
      <w:sz w:val="26"/>
      <w:szCs w:val="26"/>
    </w:rPr>
  </w:style>
  <w:style w:type="paragraph" w:styleId="Heading3">
    <w:name w:val="Heading 3"/>
    <w:basedOn w:val="Heading"/>
    <w:next w:val="BodyText"/>
    <w:qFormat/>
    <w:pPr>
      <w:spacing w:before="240" w:after="80"/>
      <w:ind w:start="240" w:end="240"/>
      <w:outlineLvl w:val="2"/>
    </w:pPr>
    <w:rPr>
      <w:rFonts w:ascii="Liberation Serif" w:hAnsi="Liberation Serif" w:eastAsia="Noto Serif CJK SC" w:cs="Noto Sans Devanagari"/>
      <w:b/>
      <w:bCs/>
      <w:sz w:val="22"/>
      <w:szCs w:val="2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6114" w:leader="none"/>
        <w:tab w:val="right" w:pos="10933" w:leader="none"/>
      </w:tabs>
    </w:pPr>
    <w:rPr/>
  </w:style>
  <w:style w:type="paragraph" w:styleId="Header">
    <w:name w:val="Header"/>
    <w:basedOn w:val="Normal"/>
    <w:pPr>
      <w:suppressLineNumbers/>
      <w:tabs>
        <w:tab w:val="clear" w:pos="1134"/>
        <w:tab w:val="center" w:pos="6114" w:leader="none"/>
        <w:tab w:val="right" w:pos="10933" w:leader="none"/>
      </w:tabs>
    </w:pPr>
    <w:rPr/>
  </w:style>
  <w:style w:type="paragraph" w:styleId="HeaderandFooter">
    <w:name w:val="Header and Footer"/>
    <w:basedOn w:val="Normal"/>
    <w:qFormat/>
    <w:pPr>
      <w:suppressLineNumbers/>
      <w:tabs>
        <w:tab w:val="clear" w:pos="1134"/>
        <w:tab w:val="center" w:pos="6115" w:leader="none"/>
        <w:tab w:val="right" w:pos="10934"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80" w:after="80"/>
      <w:ind w:start="80" w:end="8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draft">
    <w:name w:val="Body Text.draft"/>
    <w:basedOn w:val="BodyText"/>
    <w:qFormat/>
    <w:pPr>
      <w:spacing w:before="200" w:after="200"/>
      <w:ind w:start="200" w:end="200"/>
      <w:jc w:val="center"/>
    </w:pPr>
    <w:rPr>
      <w:b/>
      <w:bCs/>
      <w:color w:val="B00020"/>
      <w:sz w:val="24"/>
      <w:szCs w:val="24"/>
    </w:rPr>
  </w:style>
  <w:style w:type="paragraph" w:styleId="TableHeading">
    <w:name w:val="Table Heading"/>
    <w:basedOn w:val="TableContents"/>
    <w:qFormat/>
    <w:pPr>
      <w:suppressLineNumbers/>
      <w:shd w:fill="F2F2F2" w:val="clear"/>
      <w:jc w:val="star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vendor_invoice_template.docx</dc:title>
</cp:coreProperties>
</file>

<file path=docProps/custom.xml><?xml version="1.0" encoding="utf-8"?>
<Properties xmlns="http://schemas.openxmlformats.org/officeDocument/2006/custom-properties" xmlns:vt="http://schemas.openxmlformats.org/officeDocument/2006/docPropsVTypes"/>
</file>