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Quarterly Field Notes</w:t>
      </w:r>
    </w:p>
    <w:p>
      <w:pPr>
        <w:pStyle w:val="Heading2"/>
        <w:bidi w:val="0"/>
        <w:rPr/>
      </w:pPr>
      <w:r>
        <w:rPr/>
        <w:t>Q3 2026</w:t>
      </w:r>
    </w:p>
    <w:tbl>
      <w:tblPr>
        <w:tblW w:w="9289" w:type="dxa"/>
        <w:jc w:val="start"/>
        <w:tblInd w:w="0" w:type="dxa"/>
        <w:tblLayout w:type="fixed"/>
        <w:tblCellMar>
          <w:top w:w="28" w:type="dxa"/>
          <w:start w:w="28" w:type="dxa"/>
          <w:bottom w:w="28" w:type="dxa"/>
          <w:end w:w="28" w:type="dxa"/>
        </w:tblCellMar>
      </w:tblPr>
      <w:tblGrid>
        <w:gridCol w:w="2905"/>
        <w:gridCol w:w="6384"/>
      </w:tblGrid>
      <w:tr>
        <w:trPr/>
        <w:tc>
          <w:tcPr>
            <w:tcW w:w="2905" w:type="dxa"/>
            <w:tcBorders/>
            <w:vAlign w:val="center"/>
          </w:tcPr>
          <w:p>
            <w:pPr>
              <w:pStyle w:val="TableContents"/>
              <w:bidi w:val="0"/>
              <w:spacing w:before="0" w:after="150"/>
              <w:ind w:hanging="0" w:start="0" w:end="0"/>
              <w:jc w:val="start"/>
              <w:rPr>
                <w:b/>
              </w:rPr>
            </w:pPr>
            <w:r>
              <w:rPr>
                <w:b/>
              </w:rPr>
              <w:t>Document ID:</w:t>
            </w:r>
          </w:p>
        </w:tc>
        <w:tc>
          <w:tcPr>
            <w:tcW w:w="6384" w:type="dxa"/>
            <w:tcBorders/>
            <w:vAlign w:val="center"/>
          </w:tcPr>
          <w:p>
            <w:pPr>
              <w:pStyle w:val="TableContents"/>
              <w:bidi w:val="0"/>
              <w:spacing w:before="0" w:after="150"/>
              <w:ind w:hanging="0" w:start="0" w:end="0"/>
              <w:jc w:val="start"/>
              <w:rPr/>
            </w:pPr>
            <w:r>
              <w:rPr/>
              <w:t>MAN-Q3-2026-FN-001</w:t>
            </w:r>
          </w:p>
        </w:tc>
      </w:tr>
      <w:tr>
        <w:trPr/>
        <w:tc>
          <w:tcPr>
            <w:tcW w:w="2905" w:type="dxa"/>
            <w:tcBorders/>
            <w:vAlign w:val="center"/>
          </w:tcPr>
          <w:p>
            <w:pPr>
              <w:pStyle w:val="TableContents"/>
              <w:bidi w:val="0"/>
              <w:spacing w:before="0" w:after="150"/>
              <w:jc w:val="start"/>
              <w:rPr>
                <w:b/>
              </w:rPr>
            </w:pPr>
            <w:r>
              <w:rPr>
                <w:b/>
              </w:rPr>
              <w:t>Prepared By:</w:t>
            </w:r>
          </w:p>
        </w:tc>
        <w:tc>
          <w:tcPr>
            <w:tcW w:w="6384" w:type="dxa"/>
            <w:tcBorders/>
            <w:vAlign w:val="center"/>
          </w:tcPr>
          <w:p>
            <w:pPr>
              <w:pStyle w:val="TableContents"/>
              <w:bidi w:val="0"/>
              <w:spacing w:before="0" w:after="150"/>
              <w:ind w:hanging="0" w:start="0" w:end="0"/>
              <w:jc w:val="start"/>
              <w:rPr/>
            </w:pPr>
            <w:r>
              <w:rPr/>
              <w:t>Field Operations Team, Meridian Analytics</w:t>
            </w:r>
          </w:p>
        </w:tc>
      </w:tr>
      <w:tr>
        <w:trPr/>
        <w:tc>
          <w:tcPr>
            <w:tcW w:w="2905" w:type="dxa"/>
            <w:tcBorders/>
            <w:vAlign w:val="center"/>
          </w:tcPr>
          <w:p>
            <w:pPr>
              <w:pStyle w:val="TableContents"/>
              <w:bidi w:val="0"/>
              <w:spacing w:before="0" w:after="150"/>
              <w:jc w:val="start"/>
              <w:rPr>
                <w:b/>
              </w:rPr>
            </w:pPr>
            <w:r>
              <w:rPr>
                <w:b/>
              </w:rPr>
              <w:t>Date of Issue:</w:t>
            </w:r>
          </w:p>
        </w:tc>
        <w:tc>
          <w:tcPr>
            <w:tcW w:w="6384" w:type="dxa"/>
            <w:tcBorders/>
            <w:vAlign w:val="center"/>
          </w:tcPr>
          <w:p>
            <w:pPr>
              <w:pStyle w:val="TableContents"/>
              <w:bidi w:val="0"/>
              <w:spacing w:before="0" w:after="150"/>
              <w:ind w:hanging="0" w:start="0" w:end="0"/>
              <w:jc w:val="start"/>
              <w:rPr/>
            </w:pPr>
            <w:r>
              <w:rPr/>
              <w:t>September 30, 2026</w:t>
            </w:r>
          </w:p>
        </w:tc>
      </w:tr>
      <w:tr>
        <w:trPr/>
        <w:tc>
          <w:tcPr>
            <w:tcW w:w="2905" w:type="dxa"/>
            <w:tcBorders/>
            <w:vAlign w:val="center"/>
          </w:tcPr>
          <w:p>
            <w:pPr>
              <w:pStyle w:val="TableContents"/>
              <w:bidi w:val="0"/>
              <w:spacing w:before="0" w:after="150"/>
              <w:jc w:val="start"/>
              <w:rPr>
                <w:b/>
              </w:rPr>
            </w:pPr>
            <w:r>
              <w:rPr>
                <w:b/>
              </w:rPr>
              <w:t>Classification:</w:t>
            </w:r>
          </w:p>
        </w:tc>
        <w:tc>
          <w:tcPr>
            <w:tcW w:w="6384" w:type="dxa"/>
            <w:tcBorders/>
            <w:vAlign w:val="center"/>
          </w:tcPr>
          <w:p>
            <w:pPr>
              <w:pStyle w:val="TableContents"/>
              <w:bidi w:val="0"/>
              <w:spacing w:before="0" w:after="150"/>
              <w:ind w:hanging="0" w:start="0" w:end="0"/>
              <w:jc w:val="start"/>
              <w:rPr/>
            </w:pPr>
            <w:r>
              <w:rPr/>
              <w:t>Internal Circulation Only</w:t>
            </w:r>
          </w:p>
        </w:tc>
      </w:tr>
      <w:tr>
        <w:trPr/>
        <w:tc>
          <w:tcPr>
            <w:tcW w:w="2905" w:type="dxa"/>
            <w:tcBorders/>
            <w:vAlign w:val="center"/>
          </w:tcPr>
          <w:p>
            <w:pPr>
              <w:pStyle w:val="TableContents"/>
              <w:bidi w:val="0"/>
              <w:spacing w:before="0" w:after="150"/>
              <w:jc w:val="start"/>
              <w:rPr>
                <w:b/>
              </w:rPr>
            </w:pPr>
            <w:r>
              <w:rPr>
                <w:b/>
              </w:rPr>
              <w:t>Distribution:</w:t>
            </w:r>
          </w:p>
        </w:tc>
        <w:tc>
          <w:tcPr>
            <w:tcW w:w="6384" w:type="dxa"/>
            <w:tcBorders/>
            <w:vAlign w:val="center"/>
          </w:tcPr>
          <w:p>
            <w:pPr>
              <w:pStyle w:val="TableContents"/>
              <w:bidi w:val="0"/>
              <w:spacing w:before="0" w:after="150"/>
              <w:jc w:val="start"/>
              <w:rPr/>
            </w:pPr>
            <w:r>
              <w:rPr/>
              <w:t>Compliance Office; Quality Assurance; Site Management</w:t>
            </w:r>
          </w:p>
        </w:tc>
      </w:tr>
    </w:tbl>
    <w:p>
      <w:pPr>
        <w:pStyle w:val="Heading3"/>
        <w:bidi w:val="0"/>
        <w:jc w:val="start"/>
        <w:rPr/>
      </w:pPr>
      <w:r>
        <w:rPr/>
        <w:t>Week 1</w:t>
      </w:r>
    </w:p>
    <w:p>
      <w:pPr>
        <w:pStyle w:val="BodyText"/>
        <w:bidi w:val="0"/>
        <w:rPr/>
      </w:pPr>
      <w:r>
        <w:rPr/>
        <w:t>The initial phase of the third-quarter field operations commenced with a comprehensive site survey at Location A. All physical measurements taken during this visit were recorded and confirmed to be within the established tolerance limits for the project specifications. Concurrently, the calibration logs for instruments 12 through 15 were updated to reflect the current quarter’s verification status. No anomalies were detected during this period, and all operational parameters remained stable.</w:t>
      </w:r>
    </w:p>
    <w:p>
      <w:pPr>
        <w:pStyle w:val="BodyText"/>
        <w:numPr>
          <w:ilvl w:val="0"/>
          <w:numId w:val="1"/>
        </w:numPr>
        <w:tabs>
          <w:tab w:val="clear" w:pos="1134"/>
          <w:tab w:val="left" w:pos="2149" w:leader="none"/>
        </w:tabs>
        <w:bidi w:val="0"/>
        <w:spacing w:before="0" w:after="0"/>
        <w:ind w:hanging="283" w:start="2149"/>
        <w:rPr/>
      </w:pPr>
      <w:r>
        <w:rPr/>
        <w:t xml:space="preserve">Conducted site survey at Location A. All measurements within tolerance. </w:t>
      </w:r>
    </w:p>
    <w:p>
      <w:pPr>
        <w:pStyle w:val="BodyText"/>
        <w:numPr>
          <w:ilvl w:val="0"/>
          <w:numId w:val="1"/>
        </w:numPr>
        <w:tabs>
          <w:tab w:val="clear" w:pos="1134"/>
          <w:tab w:val="left" w:pos="2149" w:leader="none"/>
        </w:tabs>
        <w:bidi w:val="0"/>
        <w:spacing w:before="0" w:after="0"/>
        <w:ind w:hanging="283" w:start="2149"/>
        <w:rPr/>
      </w:pPr>
      <w:r>
        <w:rPr/>
        <w:t xml:space="preserve">Updated calibration logs for instruments 12-15. </w:t>
      </w:r>
    </w:p>
    <w:p>
      <w:pPr>
        <w:pStyle w:val="BodyText"/>
        <w:numPr>
          <w:ilvl w:val="0"/>
          <w:numId w:val="1"/>
        </w:numPr>
        <w:tabs>
          <w:tab w:val="clear" w:pos="1134"/>
          <w:tab w:val="left" w:pos="2149" w:leader="none"/>
        </w:tabs>
        <w:bidi w:val="0"/>
        <w:ind w:hanging="283" w:start="2149"/>
        <w:rPr/>
      </w:pPr>
      <w:r>
        <w:rPr/>
        <w:t xml:space="preserve">No anomalies detected. </w:t>
      </w:r>
    </w:p>
    <w:p>
      <w:pPr>
        <w:pStyle w:val="Heading3"/>
        <w:bidi w:val="0"/>
        <w:jc w:val="start"/>
        <w:rPr/>
      </w:pPr>
      <w:r>
        <w:rPr/>
        <w:t>Week 2</w:t>
      </w:r>
    </w:p>
    <w:p>
      <w:pPr>
        <w:pStyle w:val="BodyText"/>
        <w:bidi w:val="0"/>
        <w:rPr/>
      </w:pPr>
      <w:r>
        <w:rPr/>
        <w:t>Field personnel returned to Location A for a follow-up visit to validate the consistency of the data collected in the previous week. The readings from the initial survey were confirmed, ensuring data integrity across the observation period. During this week, the calibration certificate for instrument 16 was formally submitted to the central registry. Additionally, the maintenance schedule for the upcoming fourth quarter was reviewed to ensure adequate resource allocation for preventive maintenance activities.</w:t>
      </w:r>
    </w:p>
    <w:p>
      <w:pPr>
        <w:pStyle w:val="BodyText"/>
        <w:numPr>
          <w:ilvl w:val="0"/>
          <w:numId w:val="2"/>
        </w:numPr>
        <w:tabs>
          <w:tab w:val="clear" w:pos="1134"/>
          <w:tab w:val="left" w:pos="2149" w:leader="none"/>
        </w:tabs>
        <w:bidi w:val="0"/>
        <w:spacing w:before="0" w:after="0"/>
        <w:ind w:hanging="283" w:start="2149"/>
        <w:rPr/>
      </w:pPr>
      <w:r>
        <w:rPr/>
        <w:t xml:space="preserve">Follow-up visit to Location A. Confirmed readings from previous week. </w:t>
      </w:r>
    </w:p>
    <w:p>
      <w:pPr>
        <w:pStyle w:val="BodyText"/>
        <w:numPr>
          <w:ilvl w:val="0"/>
          <w:numId w:val="2"/>
        </w:numPr>
        <w:tabs>
          <w:tab w:val="clear" w:pos="1134"/>
          <w:tab w:val="left" w:pos="2149" w:leader="none"/>
        </w:tabs>
        <w:bidi w:val="0"/>
        <w:spacing w:before="0" w:after="0"/>
        <w:ind w:hanging="283" w:start="2149"/>
        <w:rPr/>
      </w:pPr>
      <w:r>
        <w:rPr/>
        <w:t xml:space="preserve">Submitted calibration certificate for instrument 16. </w:t>
      </w:r>
    </w:p>
    <w:p>
      <w:pPr>
        <w:pStyle w:val="BodyText"/>
        <w:numPr>
          <w:ilvl w:val="0"/>
          <w:numId w:val="2"/>
        </w:numPr>
        <w:tabs>
          <w:tab w:val="clear" w:pos="1134"/>
          <w:tab w:val="left" w:pos="2149" w:leader="none"/>
        </w:tabs>
        <w:bidi w:val="0"/>
        <w:ind w:hanging="283" w:start="2149"/>
        <w:rPr/>
      </w:pPr>
      <w:r>
        <w:rPr/>
        <w:t xml:space="preserve">Reviewed maintenance schedule for Q4. </w:t>
      </w:r>
    </w:p>
    <w:p>
      <w:pPr>
        <w:pStyle w:val="Heading3"/>
        <w:bidi w:val="0"/>
        <w:jc w:val="start"/>
        <w:rPr/>
      </w:pPr>
      <w:r>
        <w:rPr/>
        <w:t>Week 3</w:t>
      </w:r>
    </w:p>
    <w:p>
      <w:pPr>
        <w:pStyle w:val="BodyText"/>
        <w:bidi w:val="0"/>
        <w:rPr/>
      </w:pPr>
      <w:r>
        <w:rPr/>
        <w:t>Operations shifted to Location B for a new site survey. During the assessment, minor discrepancies were noted in sector 4. These variances were immediately cross-referenced with historical data from previous quarters. Analysis indicated that the discrepancies fell within the acceptable range of variation for this specific sector. To maintain a complete audit trail, an incident report was filed regarding a minor equipment malfunction that occurred during data acquisition. The malfunction did not affect the validity of the primary data sets.</w:t>
      </w:r>
    </w:p>
    <w:p>
      <w:pPr>
        <w:pStyle w:val="BodyText"/>
        <w:numPr>
          <w:ilvl w:val="0"/>
          <w:numId w:val="3"/>
        </w:numPr>
        <w:tabs>
          <w:tab w:val="clear" w:pos="1134"/>
          <w:tab w:val="left" w:pos="2149" w:leader="none"/>
        </w:tabs>
        <w:bidi w:val="0"/>
        <w:spacing w:before="0" w:after="0"/>
        <w:ind w:hanging="283" w:start="2149"/>
        <w:rPr/>
      </w:pPr>
      <w:r>
        <w:rPr/>
        <w:t xml:space="preserve">Site survey at Location B. Minor discrepancies noted in sector 4. </w:t>
      </w:r>
    </w:p>
    <w:p>
      <w:pPr>
        <w:pStyle w:val="BodyText"/>
        <w:numPr>
          <w:ilvl w:val="0"/>
          <w:numId w:val="3"/>
        </w:numPr>
        <w:tabs>
          <w:tab w:val="clear" w:pos="1134"/>
          <w:tab w:val="left" w:pos="2149" w:leader="none"/>
        </w:tabs>
        <w:bidi w:val="0"/>
        <w:spacing w:before="0" w:after="0"/>
        <w:ind w:hanging="283" w:start="2149"/>
        <w:rPr/>
      </w:pPr>
      <w:r>
        <w:rPr/>
        <w:t xml:space="preserve">Cross-referenced with historical data. Discrepancies within acceptable range. </w:t>
      </w:r>
    </w:p>
    <w:p>
      <w:pPr>
        <w:pStyle w:val="BodyText"/>
        <w:numPr>
          <w:ilvl w:val="0"/>
          <w:numId w:val="3"/>
        </w:numPr>
        <w:tabs>
          <w:tab w:val="clear" w:pos="1134"/>
          <w:tab w:val="left" w:pos="2149" w:leader="none"/>
        </w:tabs>
        <w:bidi w:val="0"/>
        <w:ind w:hanging="283" w:start="2149"/>
        <w:rPr/>
      </w:pPr>
      <w:r>
        <w:rPr/>
        <w:t xml:space="preserve">Filed incident report for minor equipment malfunction. </w:t>
      </w:r>
    </w:p>
    <w:p>
      <w:pPr>
        <w:pStyle w:val="Heading3"/>
        <w:bidi w:val="0"/>
        <w:jc w:val="start"/>
        <w:rPr/>
      </w:pPr>
      <w:r>
        <w:rPr/>
        <w:t>Week 4</w:t>
      </w:r>
    </w:p>
    <w:p>
      <w:pPr>
        <w:pStyle w:val="BodyText"/>
        <w:bidi w:val="0"/>
        <w:rPr/>
      </w:pPr>
      <w:r>
        <w:rPr/>
        <w:t>The final week of the quarter was dedicated to the consolidation and review of all data collected. A final review of all Q3 data was conducted to ensure completeness and accuracy. Summary tables were prepared for internal review, highlighting key metrics and trends observed throughout the quarter. All entries in the summary documents were verified against the original field logs to guarantee fidelity and compliance with data handling protocols.</w:t>
      </w:r>
    </w:p>
    <w:p>
      <w:pPr>
        <w:pStyle w:val="BodyText"/>
        <w:numPr>
          <w:ilvl w:val="0"/>
          <w:numId w:val="4"/>
        </w:numPr>
        <w:tabs>
          <w:tab w:val="clear" w:pos="1134"/>
          <w:tab w:val="left" w:pos="2149" w:leader="none"/>
        </w:tabs>
        <w:bidi w:val="0"/>
        <w:spacing w:before="0" w:after="0"/>
        <w:ind w:hanging="283" w:start="2149"/>
        <w:rPr/>
      </w:pPr>
      <w:r>
        <w:rPr/>
        <w:t xml:space="preserve">Final review of all Q3 data. </w:t>
      </w:r>
    </w:p>
    <w:p>
      <w:pPr>
        <w:pStyle w:val="BodyText"/>
        <w:numPr>
          <w:ilvl w:val="0"/>
          <w:numId w:val="4"/>
        </w:numPr>
        <w:tabs>
          <w:tab w:val="clear" w:pos="1134"/>
          <w:tab w:val="left" w:pos="2149" w:leader="none"/>
        </w:tabs>
        <w:bidi w:val="0"/>
        <w:spacing w:before="0" w:after="0"/>
        <w:ind w:hanging="283" w:start="2149"/>
        <w:rPr/>
      </w:pPr>
      <w:r>
        <w:rPr/>
        <w:t xml:space="preserve">Prepared summary tables for internal review. </w:t>
      </w:r>
    </w:p>
    <w:p>
      <w:pPr>
        <w:pStyle w:val="BodyText"/>
        <w:numPr>
          <w:ilvl w:val="0"/>
          <w:numId w:val="4"/>
        </w:numPr>
        <w:tabs>
          <w:tab w:val="clear" w:pos="1134"/>
          <w:tab w:val="left" w:pos="2149" w:leader="none"/>
        </w:tabs>
        <w:bidi w:val="0"/>
        <w:ind w:hanging="283" w:start="2149"/>
        <w:rPr/>
      </w:pPr>
      <w:r>
        <w:rPr/>
        <w:t xml:space="preserve">Verified all entries against original logs. </w:t>
      </w:r>
    </w:p>
    <w:p>
      <w:pPr>
        <w:pStyle w:val="Heading3"/>
        <w:bidi w:val="0"/>
        <w:jc w:val="start"/>
        <w:rPr/>
      </w:pPr>
      <w:r>
        <w:rPr/>
        <w:t>Data Sources</w:t>
      </w:r>
    </w:p>
    <w:p>
      <w:pPr>
        <w:pStyle w:val="BodyText"/>
        <w:bidi w:val="0"/>
        <w:rPr/>
      </w:pPr>
      <w:r>
        <w:rPr/>
        <w:t>The following sources were utilized to compile the data presented in these field notes:</w:t>
      </w:r>
    </w:p>
    <w:p>
      <w:pPr>
        <w:pStyle w:val="BodyText"/>
        <w:numPr>
          <w:ilvl w:val="0"/>
          <w:numId w:val="5"/>
        </w:numPr>
        <w:tabs>
          <w:tab w:val="clear" w:pos="1134"/>
          <w:tab w:val="left" w:pos="2149" w:leader="none"/>
        </w:tabs>
        <w:bidi w:val="0"/>
        <w:spacing w:before="0" w:after="0"/>
        <w:ind w:hanging="283" w:start="2149"/>
        <w:rPr/>
      </w:pPr>
      <w:r>
        <w:rPr/>
        <w:t xml:space="preserve">Primary measurements from calibrated instruments. </w:t>
      </w:r>
    </w:p>
    <w:p>
      <w:pPr>
        <w:pStyle w:val="BodyText"/>
        <w:numPr>
          <w:ilvl w:val="0"/>
          <w:numId w:val="5"/>
        </w:numPr>
        <w:tabs>
          <w:tab w:val="clear" w:pos="1134"/>
          <w:tab w:val="left" w:pos="2149" w:leader="none"/>
        </w:tabs>
        <w:bidi w:val="0"/>
        <w:spacing w:before="0" w:after="0"/>
        <w:ind w:hanging="283" w:start="2149"/>
        <w:rPr/>
      </w:pPr>
      <w:r>
        <w:rPr/>
        <w:t xml:space="preserve">Historical data from 2024-2025 archives. </w:t>
      </w:r>
    </w:p>
    <w:p>
      <w:pPr>
        <w:pStyle w:val="BodyText"/>
        <w:numPr>
          <w:ilvl w:val="0"/>
          <w:numId w:val="5"/>
        </w:numPr>
        <w:tabs>
          <w:tab w:val="clear" w:pos="1134"/>
          <w:tab w:val="left" w:pos="2149" w:leader="none"/>
        </w:tabs>
        <w:bidi w:val="0"/>
        <w:ind w:hanging="283" w:start="2149"/>
        <w:rPr/>
      </w:pPr>
      <w:r>
        <w:rPr/>
        <w:t xml:space="preserve">Incident reports from maintenance team. </w:t>
      </w:r>
    </w:p>
    <w:p>
      <w:pPr>
        <w:pStyle w:val="Heading3"/>
        <w:bidi w:val="0"/>
        <w:jc w:val="start"/>
        <w:rPr/>
      </w:pPr>
      <w:r>
        <w:rPr/>
        <w:t>Notes</w:t>
      </w:r>
    </w:p>
    <w:p>
      <w:pPr>
        <w:pStyle w:val="BodyText"/>
        <w:bidi w:val="0"/>
        <w:rPr/>
      </w:pPr>
      <w:r>
        <w:rPr/>
        <w:t>The following statements apply to the contents of this document:</w:t>
      </w:r>
    </w:p>
    <w:p>
      <w:pPr>
        <w:pStyle w:val="BodyText"/>
        <w:numPr>
          <w:ilvl w:val="0"/>
          <w:numId w:val="6"/>
        </w:numPr>
        <w:tabs>
          <w:tab w:val="clear" w:pos="1134"/>
          <w:tab w:val="left" w:pos="2149" w:leader="none"/>
        </w:tabs>
        <w:bidi w:val="0"/>
        <w:spacing w:before="0" w:after="0"/>
        <w:ind w:hanging="283" w:start="2149"/>
        <w:rPr/>
      </w:pPr>
      <w:r>
        <w:rPr/>
        <w:t xml:space="preserve">All data has been verified for accuracy. </w:t>
      </w:r>
    </w:p>
    <w:p>
      <w:pPr>
        <w:pStyle w:val="BodyText"/>
        <w:numPr>
          <w:ilvl w:val="0"/>
          <w:numId w:val="6"/>
        </w:numPr>
        <w:tabs>
          <w:tab w:val="clear" w:pos="1134"/>
          <w:tab w:val="left" w:pos="2149" w:leader="none"/>
        </w:tabs>
        <w:bidi w:val="0"/>
        <w:spacing w:before="0" w:after="0"/>
        <w:ind w:hanging="283" w:start="2149"/>
        <w:rPr/>
      </w:pPr>
      <w:r>
        <w:rPr/>
        <w:t xml:space="preserve">No external sources were used for this report. </w:t>
      </w:r>
    </w:p>
    <w:p>
      <w:pPr>
        <w:pStyle w:val="BodyText"/>
        <w:numPr>
          <w:ilvl w:val="0"/>
          <w:numId w:val="6"/>
        </w:numPr>
        <w:tabs>
          <w:tab w:val="clear" w:pos="1134"/>
          <w:tab w:val="left" w:pos="2149" w:leader="none"/>
        </w:tabs>
        <w:bidi w:val="0"/>
        <w:ind w:hanging="283" w:start="2149"/>
        <w:rPr/>
      </w:pPr>
      <w:r>
        <w:rPr/>
        <w:t xml:space="preserve">Prepared for internal compliance review. </w:t>
      </w:r>
    </w:p>
    <w:p>
      <w:pPr>
        <w:pStyle w:val="Heading3"/>
        <w:bidi w:val="0"/>
        <w:jc w:val="start"/>
        <w:rPr/>
      </w:pPr>
      <w:r>
        <w:rPr/>
        <w:t>Revision History</w:t>
      </w:r>
    </w:p>
    <w:tbl>
      <w:tblPr>
        <w:tblW w:w="9289" w:type="dxa"/>
        <w:jc w:val="start"/>
        <w:tblInd w:w="0" w:type="dxa"/>
        <w:tblLayout w:type="fixed"/>
        <w:tblCellMar>
          <w:top w:w="28" w:type="dxa"/>
          <w:start w:w="28" w:type="dxa"/>
          <w:bottom w:w="28" w:type="dxa"/>
          <w:end w:w="28" w:type="dxa"/>
        </w:tblCellMar>
      </w:tblPr>
      <w:tblGrid>
        <w:gridCol w:w="2296"/>
        <w:gridCol w:w="2056"/>
        <w:gridCol w:w="2236"/>
        <w:gridCol w:w="2701"/>
      </w:tblGrid>
      <w:tr>
        <w:trPr>
          <w:tblHeader w:val="true"/>
        </w:trPr>
        <w:tc>
          <w:tcPr>
            <w:tcW w:w="2296" w:type="dxa"/>
            <w:tcBorders/>
            <w:vAlign w:val="center"/>
          </w:tcPr>
          <w:p>
            <w:pPr>
              <w:pStyle w:val="TableHeading"/>
              <w:suppressLineNumbers/>
              <w:shd w:fill="F2F2F2" w:val="clear"/>
              <w:bidi w:val="0"/>
              <w:spacing w:before="0" w:after="150"/>
              <w:jc w:val="start"/>
              <w:rPr/>
            </w:pPr>
            <w:r>
              <w:rPr/>
              <w:t>Version</w:t>
            </w:r>
          </w:p>
        </w:tc>
        <w:tc>
          <w:tcPr>
            <w:tcW w:w="2056" w:type="dxa"/>
            <w:tcBorders/>
            <w:vAlign w:val="center"/>
          </w:tcPr>
          <w:p>
            <w:pPr>
              <w:pStyle w:val="TableHeading"/>
              <w:suppressLineNumbers/>
              <w:shd w:fill="F2F2F2" w:val="clear"/>
              <w:bidi w:val="0"/>
              <w:spacing w:before="0" w:after="150"/>
              <w:jc w:val="start"/>
              <w:rPr/>
            </w:pPr>
            <w:r>
              <w:rPr/>
              <w:t>Date</w:t>
            </w:r>
          </w:p>
        </w:tc>
        <w:tc>
          <w:tcPr>
            <w:tcW w:w="2236" w:type="dxa"/>
            <w:tcBorders/>
            <w:vAlign w:val="center"/>
          </w:tcPr>
          <w:p>
            <w:pPr>
              <w:pStyle w:val="TableHeading"/>
              <w:suppressLineNumbers/>
              <w:shd w:fill="F2F2F2" w:val="clear"/>
              <w:bidi w:val="0"/>
              <w:spacing w:before="0" w:after="150"/>
              <w:jc w:val="start"/>
              <w:rPr/>
            </w:pPr>
            <w:r>
              <w:rPr/>
              <w:t>Author</w:t>
            </w:r>
          </w:p>
        </w:tc>
        <w:tc>
          <w:tcPr>
            <w:tcW w:w="2701" w:type="dxa"/>
            <w:tcBorders/>
            <w:vAlign w:val="center"/>
          </w:tcPr>
          <w:p>
            <w:pPr>
              <w:pStyle w:val="TableHeading"/>
              <w:suppressLineNumbers/>
              <w:shd w:fill="F2F2F2" w:val="clear"/>
              <w:bidi w:val="0"/>
              <w:spacing w:before="0" w:after="150"/>
              <w:jc w:val="start"/>
              <w:rPr/>
            </w:pPr>
            <w:r>
              <w:rPr/>
              <w:t>Description</w:t>
            </w:r>
          </w:p>
        </w:tc>
      </w:tr>
      <w:tr>
        <w:trPr/>
        <w:tc>
          <w:tcPr>
            <w:tcW w:w="2296" w:type="dxa"/>
            <w:tcBorders/>
            <w:vAlign w:val="center"/>
          </w:tcPr>
          <w:p>
            <w:pPr>
              <w:pStyle w:val="TableContents"/>
              <w:bidi w:val="0"/>
              <w:spacing w:before="0" w:after="150"/>
              <w:jc w:val="start"/>
              <w:rPr/>
            </w:pPr>
            <w:r>
              <w:rPr/>
              <w:t>1.0</w:t>
            </w:r>
          </w:p>
        </w:tc>
        <w:tc>
          <w:tcPr>
            <w:tcW w:w="2056" w:type="dxa"/>
            <w:tcBorders/>
            <w:vAlign w:val="center"/>
          </w:tcPr>
          <w:p>
            <w:pPr>
              <w:pStyle w:val="TableContents"/>
              <w:bidi w:val="0"/>
              <w:spacing w:before="0" w:after="150"/>
              <w:jc w:val="start"/>
              <w:rPr/>
            </w:pPr>
            <w:r>
              <w:rPr/>
              <w:t>2026-09-30</w:t>
            </w:r>
          </w:p>
        </w:tc>
        <w:tc>
          <w:tcPr>
            <w:tcW w:w="2236" w:type="dxa"/>
            <w:tcBorders/>
            <w:vAlign w:val="center"/>
          </w:tcPr>
          <w:p>
            <w:pPr>
              <w:pStyle w:val="TableContents"/>
              <w:bidi w:val="0"/>
              <w:spacing w:before="0" w:after="150"/>
              <w:jc w:val="start"/>
              <w:rPr/>
            </w:pPr>
            <w:r>
              <w:rPr/>
              <w:t>Field Ops Team</w:t>
            </w:r>
          </w:p>
        </w:tc>
        <w:tc>
          <w:tcPr>
            <w:tcW w:w="2701" w:type="dxa"/>
            <w:tcBorders/>
            <w:vAlign w:val="center"/>
          </w:tcPr>
          <w:p>
            <w:pPr>
              <w:pStyle w:val="TableContents"/>
              <w:bidi w:val="0"/>
              <w:spacing w:before="0" w:after="150"/>
              <w:jc w:val="start"/>
              <w:rPr/>
            </w:pPr>
            <w:r>
              <w:rPr/>
              <w:t>Initial release for Q3 2026 compliance review.</w:t>
            </w:r>
          </w:p>
        </w:tc>
      </w:tr>
    </w:tbl>
    <w:p>
      <w:pPr>
        <w:pStyle w:val="BodyText"/>
        <w:keepLines/>
        <w:bidi w:val="0"/>
        <w:spacing w:before="600" w:after="150"/>
        <w:ind w:hanging="0" w:start="0" w:end="0"/>
        <w:rPr/>
      </w:pPr>
      <w:r>
        <w:rPr>
          <w:rStyle w:val="Strong"/>
        </w:rPr>
        <w:t>Prepared by:</w:t>
      </w:r>
    </w:p>
    <w:p>
      <w:pPr>
        <w:pStyle w:val="BodyText"/>
        <w:keepLines/>
        <w:bidi w:val="0"/>
        <w:spacing w:before="450" w:after="150"/>
        <w:ind w:hanging="0" w:start="0" w:end="0"/>
        <w:rPr/>
      </w:pPr>
      <w:r>
        <w:rPr>
          <w:rStyle w:val="Strong"/>
          <w:bdr w:val="single" w:sz="2" w:space="4" w:color="000000"/>
        </w:rPr>
        <w:t>Lead Field Engineer</w:t>
      </w:r>
      <w:r>
        <w:rPr>
          <w:bdr w:val="single" w:sz="2" w:space="4" w:color="000000"/>
        </w:rPr>
        <w:br/>
        <w:t xml:space="preserve">Meridian Analytics </w:t>
      </w:r>
    </w:p>
    <w:p>
      <w:pPr>
        <w:pStyle w:val="BodyText"/>
        <w:keepLines/>
        <w:bidi w:val="0"/>
        <w:spacing w:before="450" w:after="150"/>
        <w:ind w:hanging="0" w:start="0" w:end="0"/>
        <w:rPr/>
      </w:pPr>
      <w:r>
        <w:rPr>
          <w:rStyle w:val="Strong"/>
        </w:rPr>
        <w:t>Approved by:</w:t>
      </w:r>
    </w:p>
    <w:p>
      <w:pPr>
        <w:pStyle w:val="BodyText"/>
        <w:keepLines/>
        <w:bidi w:val="0"/>
        <w:spacing w:before="450" w:after="150"/>
        <w:ind w:hanging="0" w:start="0" w:end="0"/>
        <w:rPr/>
      </w:pPr>
      <w:r>
        <w:rPr>
          <w:rStyle w:val="Strong"/>
          <w:bdr w:val="single" w:sz="2" w:space="4" w:color="000000"/>
        </w:rPr>
        <w:t>Compliance Officer</w:t>
      </w:r>
      <w:r>
        <w:rPr>
          <w:bdr w:val="single" w:sz="2" w:space="4" w:color="000000"/>
        </w:rPr>
        <w:br/>
        <w:t xml:space="preserve">Meridian Analytics </w:t>
      </w:r>
    </w:p>
    <w:p>
      <w:pPr>
        <w:pStyle w:val="BodyText"/>
        <w:keepLines/>
        <w:bidi w:val="0"/>
        <w:spacing w:before="600" w:after="150"/>
        <w:ind w:hanging="0" w:start="0" w:end="0"/>
        <w:jc w:val="center"/>
        <w:rPr>
          <w:sz w:val="18"/>
          <w:bdr w:val="single" w:sz="2" w:space="8" w:color="000000"/>
        </w:rPr>
      </w:pPr>
      <w:r>
        <w:rPr>
          <w:sz w:val="18"/>
          <w:bdr w:val="single" w:sz="2" w:space="8" w:color="000000"/>
        </w:rPr>
        <w:t xml:space="preserve">© 2026 Meridian Analytics. Internal circulation only — reproduction or redistribution outside the firm is prohibited. This document contains proprietary field data and must not be exported, shared, or converted to other formats without explicit written approval from the Compliance Office.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333333"/>
      <w:sz w:val="22"/>
      <w:szCs w:val="22"/>
      <w:lang w:val="en-US" w:eastAsia="zh-CN" w:bidi="hi-IN"/>
    </w:rPr>
  </w:style>
  <w:style w:type="paragraph" w:styleId="Heading1">
    <w:name w:val="Heading 1"/>
    <w:basedOn w:val="Heading"/>
    <w:next w:val="BodyText"/>
    <w:qFormat/>
    <w:pPr>
      <w:spacing w:before="240" w:after="75"/>
      <w:jc w:val="center"/>
    </w:pPr>
    <w:rPr>
      <w:rFonts w:ascii="Noto Sans" w:hAnsi="Noto Sans"/>
      <w:b/>
      <w:bCs/>
      <w:color w:val="000000"/>
      <w:sz w:val="36"/>
      <w:szCs w:val="36"/>
    </w:rPr>
  </w:style>
  <w:style w:type="paragraph" w:styleId="Heading2">
    <w:name w:val="Heading 2"/>
    <w:basedOn w:val="Heading"/>
    <w:next w:val="BodyText"/>
    <w:qFormat/>
    <w:pPr>
      <w:spacing w:before="200" w:after="300"/>
      <w:jc w:val="center"/>
      <w:outlineLvl w:val="1"/>
    </w:pPr>
    <w:rPr>
      <w:rFonts w:ascii="Liberation Serif" w:hAnsi="Liberation Serif" w:eastAsia="Noto Serif CJK SC" w:cs="Noto Sans Devanagari"/>
      <w:b w:val="false"/>
      <w:bCs w:val="false"/>
      <w:color w:val="333333"/>
      <w:sz w:val="28"/>
      <w:szCs w:val="28"/>
    </w:rPr>
  </w:style>
  <w:style w:type="paragraph" w:styleId="Heading3">
    <w:name w:val="Heading 3"/>
    <w:basedOn w:val="Heading"/>
    <w:next w:val="BodyText"/>
    <w:qFormat/>
    <w:pPr>
      <w:pBdr>
        <w:bottom w:val="single" w:sz="2" w:space="2" w:color="000000"/>
      </w:pBdr>
      <w:spacing w:before="375" w:after="150"/>
      <w:outlineLvl w:val="2"/>
    </w:pPr>
    <w:rPr>
      <w:rFonts w:ascii="Liberation Serif" w:hAnsi="Liberation Serif" w:eastAsia="Noto Serif CJK SC" w:cs="Noto Sans Devanagari"/>
      <w:b/>
      <w:bCs/>
      <w:cap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Q3 Field Notes INTERNAL</dc:title>
</cp:coreProperties>
</file>