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0" w:after="300"/>
        <w:ind w:hanging="0" w:start="0" w:end="0"/>
        <w:jc w:val="center"/>
        <w:rPr>
          <w:bdr w:val="single" w:sz="12" w:space="8" w:color="2C3E50"/>
        </w:rPr>
      </w:pPr>
      <w:r>
        <w:rPr>
          <w:bdr w:val="single" w:sz="12" w:space="8" w:color="2C3E50"/>
        </w:rPr>
        <w:t>Quarterly Compliance Report</w:t>
      </w:r>
    </w:p>
    <w:p>
      <w:pPr>
        <w:pStyle w:val="BodyText"/>
        <w:bidi w:val="0"/>
        <w:spacing w:before="0" w:after="300"/>
        <w:ind w:hanging="0" w:start="0" w:end="0"/>
        <w:jc w:val="center"/>
        <w:rPr>
          <w:b/>
          <w:sz w:val="28"/>
          <w:bdr w:val="single" w:sz="12" w:space="8" w:color="2C3E50"/>
        </w:rPr>
      </w:pPr>
      <w:r>
        <w:rPr>
          <w:b/>
          <w:sz w:val="28"/>
          <w:bdr w:val="single" w:sz="12" w:space="8" w:color="2C3E50"/>
        </w:rPr>
        <w:t>Q3 2026</w:t>
      </w:r>
    </w:p>
    <w:p>
      <w:pPr>
        <w:pStyle w:val="BodyText"/>
        <w:bidi w:val="0"/>
        <w:spacing w:before="0" w:after="300"/>
        <w:ind w:hanging="0" w:start="0" w:end="0"/>
        <w:jc w:val="center"/>
        <w:rPr>
          <w:color w:val="666666"/>
          <w:sz w:val="20"/>
          <w:bdr w:val="single" w:sz="12" w:space="8" w:color="2C3E50"/>
        </w:rPr>
      </w:pPr>
      <w:r>
        <w:rPr>
          <w:color w:val="666666"/>
          <w:sz w:val="20"/>
          <w:bdr w:val="single" w:sz="12" w:space="8" w:color="2C3E50"/>
        </w:rPr>
        <w:t>Meridian Logistics</w:t>
      </w:r>
    </w:p>
    <w:tbl>
      <w:tblPr>
        <w:tblW w:w="11339" w:type="dxa"/>
        <w:jc w:val="start"/>
        <w:tblInd w:w="0" w:type="dxa"/>
        <w:tblLayout w:type="fixed"/>
        <w:tblCellMar>
          <w:top w:w="28" w:type="dxa"/>
          <w:start w:w="28" w:type="dxa"/>
          <w:bottom w:w="28" w:type="dxa"/>
          <w:end w:w="28" w:type="dxa"/>
        </w:tblCellMar>
      </w:tblPr>
      <w:tblGrid>
        <w:gridCol w:w="2643"/>
        <w:gridCol w:w="3305"/>
        <w:gridCol w:w="2874"/>
        <w:gridCol w:w="2517"/>
      </w:tblGrid>
      <w:tr>
        <w:trPr/>
        <w:tc>
          <w:tcPr>
            <w:tcW w:w="2643" w:type="dxa"/>
            <w:tcBorders/>
            <w:vAlign w:val="center"/>
          </w:tcPr>
          <w:p>
            <w:pPr>
              <w:pStyle w:val="TableContents"/>
              <w:bidi w:val="0"/>
              <w:spacing w:before="0" w:after="150"/>
              <w:rPr/>
            </w:pPr>
            <w:r>
              <w:rPr/>
              <w:t>Report ID:</w:t>
            </w:r>
          </w:p>
        </w:tc>
        <w:tc>
          <w:tcPr>
            <w:tcW w:w="3305" w:type="dxa"/>
            <w:tcBorders/>
            <w:vAlign w:val="center"/>
          </w:tcPr>
          <w:p>
            <w:pPr>
              <w:pStyle w:val="TableContents"/>
              <w:bidi w:val="0"/>
              <w:spacing w:before="0" w:after="150"/>
              <w:rPr/>
            </w:pPr>
            <w:r>
              <w:rPr/>
              <w:t>ML-COMP-Q3-2026-001</w:t>
            </w:r>
          </w:p>
        </w:tc>
        <w:tc>
          <w:tcPr>
            <w:tcW w:w="2874" w:type="dxa"/>
            <w:tcBorders/>
            <w:vAlign w:val="center"/>
          </w:tcPr>
          <w:p>
            <w:pPr>
              <w:pStyle w:val="TableContents"/>
              <w:bidi w:val="0"/>
              <w:spacing w:before="0" w:after="150"/>
              <w:rPr/>
            </w:pPr>
            <w:r>
              <w:rPr/>
              <w:t>Date Issued:</w:t>
            </w:r>
          </w:p>
        </w:tc>
        <w:tc>
          <w:tcPr>
            <w:tcW w:w="2517" w:type="dxa"/>
            <w:tcBorders/>
            <w:vAlign w:val="center"/>
          </w:tcPr>
          <w:p>
            <w:pPr>
              <w:pStyle w:val="TableContents"/>
              <w:bidi w:val="0"/>
              <w:spacing w:before="0" w:after="150"/>
              <w:rPr/>
            </w:pPr>
            <w:r>
              <w:rPr/>
              <w:t>October 15, 2026</w:t>
            </w:r>
          </w:p>
        </w:tc>
      </w:tr>
      <w:tr>
        <w:trPr/>
        <w:tc>
          <w:tcPr>
            <w:tcW w:w="2643" w:type="dxa"/>
            <w:tcBorders/>
            <w:vAlign w:val="center"/>
          </w:tcPr>
          <w:p>
            <w:pPr>
              <w:pStyle w:val="TableContents"/>
              <w:bidi w:val="0"/>
              <w:spacing w:before="0" w:after="150"/>
              <w:rPr/>
            </w:pPr>
            <w:r>
              <w:rPr/>
              <w:t>Prepared By:</w:t>
            </w:r>
          </w:p>
        </w:tc>
        <w:tc>
          <w:tcPr>
            <w:tcW w:w="3305" w:type="dxa"/>
            <w:tcBorders/>
            <w:vAlign w:val="center"/>
          </w:tcPr>
          <w:p>
            <w:pPr>
              <w:pStyle w:val="TableContents"/>
              <w:bidi w:val="0"/>
              <w:spacing w:before="0" w:after="150"/>
              <w:rPr/>
            </w:pPr>
            <w:r>
              <w:rPr/>
              <w:t>Compliance Department</w:t>
            </w:r>
          </w:p>
        </w:tc>
        <w:tc>
          <w:tcPr>
            <w:tcW w:w="2874" w:type="dxa"/>
            <w:tcBorders/>
            <w:vAlign w:val="center"/>
          </w:tcPr>
          <w:p>
            <w:pPr>
              <w:pStyle w:val="TableContents"/>
              <w:bidi w:val="0"/>
              <w:spacing w:before="0" w:after="150"/>
              <w:rPr/>
            </w:pPr>
            <w:r>
              <w:rPr/>
              <w:t>Classification:</w:t>
            </w:r>
          </w:p>
        </w:tc>
        <w:tc>
          <w:tcPr>
            <w:tcW w:w="2517" w:type="dxa"/>
            <w:tcBorders/>
            <w:vAlign w:val="center"/>
          </w:tcPr>
          <w:p>
            <w:pPr>
              <w:pStyle w:val="TableContents"/>
              <w:bidi w:val="0"/>
              <w:spacing w:before="0" w:after="150"/>
              <w:rPr/>
            </w:pPr>
            <w:r>
              <w:rPr/>
              <w:t>Internal Use Only</w:t>
            </w:r>
          </w:p>
        </w:tc>
      </w:tr>
      <w:tr>
        <w:trPr/>
        <w:tc>
          <w:tcPr>
            <w:tcW w:w="2643" w:type="dxa"/>
            <w:tcBorders/>
            <w:vAlign w:val="center"/>
          </w:tcPr>
          <w:p>
            <w:pPr>
              <w:pStyle w:val="TableContents"/>
              <w:bidi w:val="0"/>
              <w:spacing w:before="0" w:after="150"/>
              <w:rPr/>
            </w:pPr>
            <w:r>
              <w:rPr/>
              <w:t>Reporting Period:</w:t>
            </w:r>
          </w:p>
        </w:tc>
        <w:tc>
          <w:tcPr>
            <w:tcW w:w="3305" w:type="dxa"/>
            <w:tcBorders/>
            <w:vAlign w:val="center"/>
          </w:tcPr>
          <w:p>
            <w:pPr>
              <w:pStyle w:val="TableContents"/>
              <w:bidi w:val="0"/>
              <w:spacing w:before="0" w:after="150"/>
              <w:rPr/>
            </w:pPr>
            <w:r>
              <w:rPr/>
              <w:t>July 1, 2026 – September 30, 2026</w:t>
            </w:r>
          </w:p>
        </w:tc>
        <w:tc>
          <w:tcPr>
            <w:tcW w:w="2874" w:type="dxa"/>
            <w:tcBorders/>
            <w:vAlign w:val="center"/>
          </w:tcPr>
          <w:p>
            <w:pPr>
              <w:pStyle w:val="TableContents"/>
              <w:bidi w:val="0"/>
              <w:spacing w:before="0" w:after="150"/>
              <w:rPr/>
            </w:pPr>
            <w:r>
              <w:rPr/>
              <w:t>Version:</w:t>
            </w:r>
          </w:p>
        </w:tc>
        <w:tc>
          <w:tcPr>
            <w:tcW w:w="2517" w:type="dxa"/>
            <w:tcBorders/>
            <w:vAlign w:val="center"/>
          </w:tcPr>
          <w:p>
            <w:pPr>
              <w:pStyle w:val="TableContents"/>
              <w:bidi w:val="0"/>
              <w:spacing w:before="0" w:after="150"/>
              <w:rPr/>
            </w:pPr>
            <w:r>
              <w:rPr/>
              <w:t>1.0</w:t>
            </w:r>
          </w:p>
        </w:tc>
      </w:tr>
    </w:tbl>
    <w:p>
      <w:pPr>
        <w:pStyle w:val="Heading2"/>
        <w:bidi w:val="0"/>
        <w:jc w:val="start"/>
        <w:rPr/>
      </w:pPr>
      <w:r>
        <w:rPr/>
        <w:t>1. Executive Summary</w:t>
      </w:r>
    </w:p>
    <w:p>
      <w:pPr>
        <w:pStyle w:val="BodyText"/>
        <w:bidi w:val="0"/>
        <w:rPr/>
      </w:pPr>
      <w:r>
        <w:rPr/>
        <w:t>This report summarizes compliance activities during Q3 2026. All departments completed required training by the deadline. No major violations were identified during the quarter. The compliance team conducted routine monitoring and spot checks across all business units, confirming adherence to established policies. Overall, the organization maintained a strong compliance posture, with all key performance indicators meeting or exceeding internal targets. This summary serves as a high-level overview for senior management and external stakeholders, detailing the status of regulatory adherence, internal controls, and risk mitigation efforts throughout the third quarter.</w:t>
      </w:r>
    </w:p>
    <w:p>
      <w:pPr>
        <w:pStyle w:val="Heading2"/>
        <w:bidi w:val="0"/>
        <w:jc w:val="start"/>
        <w:rPr/>
      </w:pPr>
      <w:r>
        <w:rPr/>
        <w:t>2. Training Completion</w:t>
      </w:r>
    </w:p>
    <w:p>
      <w:pPr>
        <w:pStyle w:val="BodyText"/>
        <w:bidi w:val="0"/>
        <w:rPr/>
      </w:pPr>
      <w:r>
        <w:rPr/>
        <w:t>All 245 employees completed mandatory security training. Completion rate: 100%. Records are available in the HR system. The training modules covered data privacy, phishing awareness, and safe handling of confidential information. New hires were onboarded with immediate compliance orientation, ensuring no gaps in coverage. The high completion rate reflects the effectiveness of the automated reminder system and the integration of compliance metrics into performance reviews. Detailed breakdowns by department are provided in Appendix B.</w:t>
      </w:r>
    </w:p>
    <w:p>
      <w:pPr>
        <w:pStyle w:val="Heading2"/>
        <w:bidi w:val="0"/>
        <w:jc w:val="start"/>
        <w:rPr/>
      </w:pPr>
      <w:r>
        <w:rPr/>
        <w:t>3. Access Control Review</w:t>
      </w:r>
    </w:p>
    <w:p>
      <w:pPr>
        <w:pStyle w:val="BodyText"/>
        <w:bidi w:val="0"/>
        <w:rPr/>
      </w:pPr>
      <w:r>
        <w:rPr/>
        <w:t>Quarterly access reviews were completed for all systems. 12 stale accounts were disabled. No unauthorized access attempts were detected. The review process involved verifying user roles against job descriptions and deprovisioning accounts for employees who had terminated or changed roles. System administrators confirmed that least-privilege principles were maintained across all critical infrastructure. Logs were analyzed for anomalous login patterns, and no suspicious activity was flagged during the period.</w:t>
      </w:r>
    </w:p>
    <w:p>
      <w:pPr>
        <w:pStyle w:val="Heading2"/>
        <w:bidi w:val="0"/>
        <w:jc w:val="start"/>
        <w:rPr/>
      </w:pPr>
      <w:r>
        <w:rPr/>
        <w:t>4. Data Handling Procedures</w:t>
      </w:r>
    </w:p>
    <w:p>
      <w:pPr>
        <w:pStyle w:val="BodyText"/>
        <w:bidi w:val="0"/>
        <w:rPr/>
      </w:pPr>
      <w:r>
        <w:rPr/>
        <w:t>Standard data handling procedures were followed. No data breaches were reported. All incident response protocols were up to date. Employees adhered to encryption standards for data at rest and in transit. Regular backups were verified for integrity and recoverability. The data governance committee reviewed recent changes to customer data processing workflows and confirmed alignment with current privacy regulations. No exceptions or deviations from standard operating procedures were noted.</w:t>
      </w:r>
    </w:p>
    <w:p>
      <w:pPr>
        <w:pStyle w:val="Heading2"/>
        <w:bidi w:val="0"/>
        <w:jc w:val="start"/>
        <w:rPr/>
      </w:pPr>
      <w:r>
        <w:rPr/>
        <w:t>5. Vendor Compliance</w:t>
      </w:r>
    </w:p>
    <w:p>
      <w:pPr>
        <w:pStyle w:val="BodyText"/>
        <w:bidi w:val="0"/>
        <w:rPr/>
      </w:pPr>
      <w:r>
        <w:rPr/>
        <w:t>All third-party vendors completed annual compliance attestations. Two vendors were flagged for delayed submissions and have since remediated. The compliance team conducted due diligence on new vendor onboarding, ensuring that contractual obligations included necessary security clauses. Vendor risk assessments were updated to reflect current threat landscapes. All active vendors are currently in good standing, and no significant risks were identified in the supply chain during this quarter.</w:t>
      </w:r>
    </w:p>
    <w:p>
      <w:pPr>
        <w:pStyle w:val="Heading2"/>
        <w:bidi w:val="0"/>
        <w:jc w:val="start"/>
        <w:rPr/>
      </w:pPr>
      <w:r>
        <w:rPr/>
        <w:t>6. Audit Findings</w:t>
      </w:r>
    </w:p>
    <w:p>
      <w:pPr>
        <w:pStyle w:val="BodyText"/>
        <w:bidi w:val="0"/>
        <w:rPr/>
      </w:pPr>
      <w:r>
        <w:rPr/>
        <w:t>Internal audit identified three minor findings, all of which have been remediated within the 30-day window. No critical findings were noted. The minor findings related to documentation gaps in two departmental SOPs and a delayed patch application on a non-critical server. Corrective actions were implemented and verified by the audit team. The overall audit opinion remains unqualified, indicating that internal controls are operating effectively. A detailed log of findings and remediation status is maintained in the audit management system.</w:t>
      </w:r>
    </w:p>
    <w:p>
      <w:pPr>
        <w:pStyle w:val="Heading2"/>
        <w:bidi w:val="0"/>
        <w:jc w:val="start"/>
        <w:rPr/>
      </w:pPr>
      <w:r>
        <w:rPr/>
        <w:t>7. Regulatory Updates</w:t>
      </w:r>
    </w:p>
    <w:p>
      <w:pPr>
        <w:pStyle w:val="BodyText"/>
        <w:bidi w:val="0"/>
        <w:rPr/>
      </w:pPr>
      <w:r>
        <w:rPr/>
        <w:t>The team reviewed new regulatory requirements effective Q4 2026. Implementation plans are in place for all applicable changes. Key areas of focus include updated reporting thresholds and enhanced data retention policies. Cross-functional working groups have been established to oversee the transition. Training materials are being updated to reflect the new requirements, and communication to staff is scheduled for early Q4. The compliance team will monitor regulatory developments continuously to ensure ongoing alignment.</w:t>
      </w:r>
    </w:p>
    <w:p>
      <w:pPr>
        <w:pStyle w:val="Heading2"/>
        <w:bidi w:val="0"/>
        <w:jc w:val="start"/>
        <w:rPr/>
      </w:pPr>
      <w:r>
        <w:rPr/>
        <w:t>8. Appendix A - System Inventory</w:t>
      </w:r>
    </w:p>
    <w:p>
      <w:pPr>
        <w:pStyle w:val="BodyText"/>
        <w:bidi w:val="0"/>
        <w:rPr/>
      </w:pPr>
      <w:r>
        <w:rPr/>
        <w:t>Complete list of monitored systems and their compliance status. All systems are in good standing.</w:t>
      </w:r>
    </w:p>
    <w:tbl>
      <w:tblPr>
        <w:tblW w:w="11339" w:type="dxa"/>
        <w:jc w:val="start"/>
        <w:tblInd w:w="0" w:type="dxa"/>
        <w:tblLayout w:type="fixed"/>
        <w:tblCellMar>
          <w:top w:w="28" w:type="dxa"/>
          <w:start w:w="28" w:type="dxa"/>
          <w:bottom w:w="28" w:type="dxa"/>
          <w:end w:w="28" w:type="dxa"/>
        </w:tblCellMar>
      </w:tblPr>
      <w:tblGrid>
        <w:gridCol w:w="2688"/>
        <w:gridCol w:w="2852"/>
        <w:gridCol w:w="3028"/>
        <w:gridCol w:w="2771"/>
      </w:tblGrid>
      <w:tr>
        <w:trPr/>
        <w:tc>
          <w:tcPr>
            <w:tcW w:w="2688" w:type="dxa"/>
            <w:tcBorders/>
            <w:vAlign w:val="center"/>
          </w:tcPr>
          <w:p>
            <w:pPr>
              <w:pStyle w:val="TableHeading"/>
              <w:suppressLineNumbers/>
              <w:bidi w:val="0"/>
              <w:spacing w:before="0" w:after="150"/>
              <w:jc w:val="center"/>
              <w:rPr/>
            </w:pPr>
            <w:r>
              <w:rPr/>
              <w:t>System Name</w:t>
            </w:r>
          </w:p>
        </w:tc>
        <w:tc>
          <w:tcPr>
            <w:tcW w:w="2852" w:type="dxa"/>
            <w:tcBorders/>
            <w:vAlign w:val="center"/>
          </w:tcPr>
          <w:p>
            <w:pPr>
              <w:pStyle w:val="TableHeading"/>
              <w:suppressLineNumbers/>
              <w:bidi w:val="0"/>
              <w:spacing w:before="0" w:after="150"/>
              <w:jc w:val="center"/>
              <w:rPr/>
            </w:pPr>
            <w:r>
              <w:rPr/>
              <w:t>Owner</w:t>
            </w:r>
          </w:p>
        </w:tc>
        <w:tc>
          <w:tcPr>
            <w:tcW w:w="3028" w:type="dxa"/>
            <w:tcBorders/>
            <w:vAlign w:val="center"/>
          </w:tcPr>
          <w:p>
            <w:pPr>
              <w:pStyle w:val="TableHeading"/>
              <w:suppressLineNumbers/>
              <w:bidi w:val="0"/>
              <w:spacing w:before="0" w:after="150"/>
              <w:jc w:val="center"/>
              <w:rPr/>
            </w:pPr>
            <w:r>
              <w:rPr/>
              <w:t>Compliance Status</w:t>
            </w:r>
          </w:p>
        </w:tc>
        <w:tc>
          <w:tcPr>
            <w:tcW w:w="2771" w:type="dxa"/>
            <w:tcBorders/>
            <w:vAlign w:val="center"/>
          </w:tcPr>
          <w:p>
            <w:pPr>
              <w:pStyle w:val="TableHeading"/>
              <w:suppressLineNumbers/>
              <w:bidi w:val="0"/>
              <w:spacing w:before="0" w:after="150"/>
              <w:jc w:val="center"/>
              <w:rPr/>
            </w:pPr>
            <w:r>
              <w:rPr/>
              <w:t>Last Reviewed</w:t>
            </w:r>
          </w:p>
        </w:tc>
      </w:tr>
      <w:tr>
        <w:trPr/>
        <w:tc>
          <w:tcPr>
            <w:tcW w:w="2688" w:type="dxa"/>
            <w:tcBorders/>
            <w:vAlign w:val="center"/>
          </w:tcPr>
          <w:p>
            <w:pPr>
              <w:pStyle w:val="TableContents"/>
              <w:bidi w:val="0"/>
              <w:spacing w:before="0" w:after="150"/>
              <w:rPr/>
            </w:pPr>
            <w:r>
              <w:rPr/>
              <w:t>ERP Core</w:t>
            </w:r>
          </w:p>
        </w:tc>
        <w:tc>
          <w:tcPr>
            <w:tcW w:w="2852" w:type="dxa"/>
            <w:tcBorders/>
            <w:vAlign w:val="center"/>
          </w:tcPr>
          <w:p>
            <w:pPr>
              <w:pStyle w:val="TableContents"/>
              <w:bidi w:val="0"/>
              <w:spacing w:before="0" w:after="150"/>
              <w:rPr/>
            </w:pPr>
            <w:r>
              <w:rPr/>
              <w:t>IT Operations</w:t>
            </w:r>
          </w:p>
        </w:tc>
        <w:tc>
          <w:tcPr>
            <w:tcW w:w="3028" w:type="dxa"/>
            <w:tcBorders/>
            <w:vAlign w:val="center"/>
          </w:tcPr>
          <w:p>
            <w:pPr>
              <w:pStyle w:val="TableContents"/>
              <w:bidi w:val="0"/>
              <w:spacing w:before="0" w:after="150"/>
              <w:rPr/>
            </w:pPr>
            <w:r>
              <w:rPr/>
              <w:t>Compliant</w:t>
            </w:r>
          </w:p>
        </w:tc>
        <w:tc>
          <w:tcPr>
            <w:tcW w:w="2771" w:type="dxa"/>
            <w:tcBorders/>
            <w:vAlign w:val="center"/>
          </w:tcPr>
          <w:p>
            <w:pPr>
              <w:pStyle w:val="TableContents"/>
              <w:bidi w:val="0"/>
              <w:spacing w:before="0" w:after="150"/>
              <w:rPr/>
            </w:pPr>
            <w:r>
              <w:rPr/>
              <w:t>Sep 15, 2026</w:t>
            </w:r>
          </w:p>
        </w:tc>
      </w:tr>
      <w:tr>
        <w:trPr/>
        <w:tc>
          <w:tcPr>
            <w:tcW w:w="2688" w:type="dxa"/>
            <w:tcBorders/>
            <w:vAlign w:val="center"/>
          </w:tcPr>
          <w:p>
            <w:pPr>
              <w:pStyle w:val="TableContents"/>
              <w:bidi w:val="0"/>
              <w:spacing w:before="0" w:after="150"/>
              <w:rPr/>
            </w:pPr>
            <w:r>
              <w:rPr/>
              <w:t>CRM Platform</w:t>
            </w:r>
          </w:p>
        </w:tc>
        <w:tc>
          <w:tcPr>
            <w:tcW w:w="2852" w:type="dxa"/>
            <w:tcBorders/>
            <w:vAlign w:val="center"/>
          </w:tcPr>
          <w:p>
            <w:pPr>
              <w:pStyle w:val="TableContents"/>
              <w:bidi w:val="0"/>
              <w:spacing w:before="0" w:after="150"/>
              <w:rPr/>
            </w:pPr>
            <w:r>
              <w:rPr/>
              <w:t>Sales Ops</w:t>
            </w:r>
          </w:p>
        </w:tc>
        <w:tc>
          <w:tcPr>
            <w:tcW w:w="3028" w:type="dxa"/>
            <w:tcBorders/>
            <w:vAlign w:val="center"/>
          </w:tcPr>
          <w:p>
            <w:pPr>
              <w:pStyle w:val="TableContents"/>
              <w:bidi w:val="0"/>
              <w:spacing w:before="0" w:after="150"/>
              <w:rPr/>
            </w:pPr>
            <w:r>
              <w:rPr/>
              <w:t>Compliant</w:t>
            </w:r>
          </w:p>
        </w:tc>
        <w:tc>
          <w:tcPr>
            <w:tcW w:w="2771" w:type="dxa"/>
            <w:tcBorders/>
            <w:vAlign w:val="center"/>
          </w:tcPr>
          <w:p>
            <w:pPr>
              <w:pStyle w:val="TableContents"/>
              <w:bidi w:val="0"/>
              <w:spacing w:before="0" w:after="150"/>
              <w:rPr/>
            </w:pPr>
            <w:r>
              <w:rPr/>
              <w:t>Sep 18, 2026</w:t>
            </w:r>
          </w:p>
        </w:tc>
      </w:tr>
      <w:tr>
        <w:trPr/>
        <w:tc>
          <w:tcPr>
            <w:tcW w:w="2688" w:type="dxa"/>
            <w:tcBorders/>
            <w:vAlign w:val="center"/>
          </w:tcPr>
          <w:p>
            <w:pPr>
              <w:pStyle w:val="TableContents"/>
              <w:bidi w:val="0"/>
              <w:spacing w:before="0" w:after="150"/>
              <w:rPr/>
            </w:pPr>
            <w:r>
              <w:rPr/>
              <w:t>HRIS</w:t>
            </w:r>
          </w:p>
        </w:tc>
        <w:tc>
          <w:tcPr>
            <w:tcW w:w="2852" w:type="dxa"/>
            <w:tcBorders/>
            <w:vAlign w:val="center"/>
          </w:tcPr>
          <w:p>
            <w:pPr>
              <w:pStyle w:val="TableContents"/>
              <w:bidi w:val="0"/>
              <w:spacing w:before="0" w:after="150"/>
              <w:rPr/>
            </w:pPr>
            <w:r>
              <w:rPr/>
              <w:t>Human Resources</w:t>
            </w:r>
          </w:p>
        </w:tc>
        <w:tc>
          <w:tcPr>
            <w:tcW w:w="3028" w:type="dxa"/>
            <w:tcBorders/>
            <w:vAlign w:val="center"/>
          </w:tcPr>
          <w:p>
            <w:pPr>
              <w:pStyle w:val="TableContents"/>
              <w:bidi w:val="0"/>
              <w:spacing w:before="0" w:after="150"/>
              <w:rPr/>
            </w:pPr>
            <w:r>
              <w:rPr/>
              <w:t>Compliant</w:t>
            </w:r>
          </w:p>
        </w:tc>
        <w:tc>
          <w:tcPr>
            <w:tcW w:w="2771" w:type="dxa"/>
            <w:tcBorders/>
            <w:vAlign w:val="center"/>
          </w:tcPr>
          <w:p>
            <w:pPr>
              <w:pStyle w:val="TableContents"/>
              <w:bidi w:val="0"/>
              <w:spacing w:before="0" w:after="150"/>
              <w:rPr/>
            </w:pPr>
            <w:r>
              <w:rPr/>
              <w:t>Sep 20, 2026</w:t>
            </w:r>
          </w:p>
        </w:tc>
      </w:tr>
      <w:tr>
        <w:trPr/>
        <w:tc>
          <w:tcPr>
            <w:tcW w:w="2688" w:type="dxa"/>
            <w:tcBorders/>
            <w:vAlign w:val="center"/>
          </w:tcPr>
          <w:p>
            <w:pPr>
              <w:pStyle w:val="TableContents"/>
              <w:bidi w:val="0"/>
              <w:spacing w:before="0" w:after="150"/>
              <w:rPr/>
            </w:pPr>
            <w:r>
              <w:rPr/>
              <w:t>Logistics Tracking</w:t>
            </w:r>
          </w:p>
        </w:tc>
        <w:tc>
          <w:tcPr>
            <w:tcW w:w="2852" w:type="dxa"/>
            <w:tcBorders/>
            <w:vAlign w:val="center"/>
          </w:tcPr>
          <w:p>
            <w:pPr>
              <w:pStyle w:val="TableContents"/>
              <w:bidi w:val="0"/>
              <w:spacing w:before="0" w:after="150"/>
              <w:rPr/>
            </w:pPr>
            <w:r>
              <w:rPr/>
              <w:t>Supply Chain</w:t>
            </w:r>
          </w:p>
        </w:tc>
        <w:tc>
          <w:tcPr>
            <w:tcW w:w="3028" w:type="dxa"/>
            <w:tcBorders/>
            <w:vAlign w:val="center"/>
          </w:tcPr>
          <w:p>
            <w:pPr>
              <w:pStyle w:val="TableContents"/>
              <w:bidi w:val="0"/>
              <w:spacing w:before="0" w:after="150"/>
              <w:rPr/>
            </w:pPr>
            <w:r>
              <w:rPr/>
              <w:t>Compliant</w:t>
            </w:r>
          </w:p>
        </w:tc>
        <w:tc>
          <w:tcPr>
            <w:tcW w:w="2771" w:type="dxa"/>
            <w:tcBorders/>
            <w:vAlign w:val="center"/>
          </w:tcPr>
          <w:p>
            <w:pPr>
              <w:pStyle w:val="TableContents"/>
              <w:bidi w:val="0"/>
              <w:spacing w:before="0" w:after="150"/>
              <w:rPr/>
            </w:pPr>
            <w:r>
              <w:rPr/>
              <w:t>Sep 22, 2026</w:t>
            </w:r>
          </w:p>
        </w:tc>
      </w:tr>
    </w:tbl>
    <w:p>
      <w:pPr>
        <w:pStyle w:val="Heading2"/>
        <w:bidi w:val="0"/>
        <w:jc w:val="start"/>
        <w:rPr/>
      </w:pPr>
      <w:r>
        <w:rPr/>
        <w:t>9. Appendix B - Training Records</w:t>
      </w:r>
    </w:p>
    <w:p>
      <w:pPr>
        <w:pStyle w:val="BodyText"/>
        <w:bidi w:val="0"/>
        <w:rPr/>
      </w:pPr>
      <w:r>
        <w:rPr/>
        <w:t>Detailed training completion records by department. All departments meet or exceed requirements.</w:t>
      </w:r>
    </w:p>
    <w:tbl>
      <w:tblPr>
        <w:tblW w:w="11339" w:type="dxa"/>
        <w:jc w:val="start"/>
        <w:tblInd w:w="0" w:type="dxa"/>
        <w:tblLayout w:type="fixed"/>
        <w:tblCellMar>
          <w:top w:w="28" w:type="dxa"/>
          <w:start w:w="28" w:type="dxa"/>
          <w:bottom w:w="28" w:type="dxa"/>
          <w:end w:w="28" w:type="dxa"/>
        </w:tblCellMar>
      </w:tblPr>
      <w:tblGrid>
        <w:gridCol w:w="2969"/>
        <w:gridCol w:w="2791"/>
        <w:gridCol w:w="2701"/>
        <w:gridCol w:w="2878"/>
      </w:tblGrid>
      <w:tr>
        <w:trPr/>
        <w:tc>
          <w:tcPr>
            <w:tcW w:w="2969" w:type="dxa"/>
            <w:tcBorders/>
            <w:vAlign w:val="center"/>
          </w:tcPr>
          <w:p>
            <w:pPr>
              <w:pStyle w:val="TableHeading"/>
              <w:suppressLineNumbers/>
              <w:bidi w:val="0"/>
              <w:spacing w:before="0" w:after="150"/>
              <w:jc w:val="center"/>
              <w:rPr/>
            </w:pPr>
            <w:r>
              <w:rPr/>
              <w:t>Department</w:t>
            </w:r>
          </w:p>
        </w:tc>
        <w:tc>
          <w:tcPr>
            <w:tcW w:w="2791" w:type="dxa"/>
            <w:tcBorders/>
            <w:vAlign w:val="center"/>
          </w:tcPr>
          <w:p>
            <w:pPr>
              <w:pStyle w:val="TableHeading"/>
              <w:suppressLineNumbers/>
              <w:bidi w:val="0"/>
              <w:spacing w:before="0" w:after="150"/>
              <w:jc w:val="center"/>
              <w:rPr/>
            </w:pPr>
            <w:r>
              <w:rPr/>
              <w:t>Total Employees</w:t>
            </w:r>
          </w:p>
        </w:tc>
        <w:tc>
          <w:tcPr>
            <w:tcW w:w="2701" w:type="dxa"/>
            <w:tcBorders/>
            <w:vAlign w:val="center"/>
          </w:tcPr>
          <w:p>
            <w:pPr>
              <w:pStyle w:val="TableHeading"/>
              <w:suppressLineNumbers/>
              <w:bidi w:val="0"/>
              <w:spacing w:before="0" w:after="150"/>
              <w:jc w:val="center"/>
              <w:rPr/>
            </w:pPr>
            <w:r>
              <w:rPr/>
              <w:t>Completed</w:t>
            </w:r>
          </w:p>
        </w:tc>
        <w:tc>
          <w:tcPr>
            <w:tcW w:w="2878" w:type="dxa"/>
            <w:tcBorders/>
            <w:vAlign w:val="center"/>
          </w:tcPr>
          <w:p>
            <w:pPr>
              <w:pStyle w:val="TableHeading"/>
              <w:suppressLineNumbers/>
              <w:bidi w:val="0"/>
              <w:spacing w:before="0" w:after="150"/>
              <w:jc w:val="center"/>
              <w:rPr/>
            </w:pPr>
            <w:r>
              <w:rPr/>
              <w:t>Completion Rate</w:t>
            </w:r>
          </w:p>
        </w:tc>
      </w:tr>
      <w:tr>
        <w:trPr/>
        <w:tc>
          <w:tcPr>
            <w:tcW w:w="2969" w:type="dxa"/>
            <w:tcBorders/>
            <w:vAlign w:val="center"/>
          </w:tcPr>
          <w:p>
            <w:pPr>
              <w:pStyle w:val="TableContents"/>
              <w:bidi w:val="0"/>
              <w:spacing w:before="0" w:after="150"/>
              <w:rPr/>
            </w:pPr>
            <w:r>
              <w:rPr/>
              <w:t>Operations</w:t>
            </w:r>
          </w:p>
        </w:tc>
        <w:tc>
          <w:tcPr>
            <w:tcW w:w="2791" w:type="dxa"/>
            <w:tcBorders/>
            <w:vAlign w:val="center"/>
          </w:tcPr>
          <w:p>
            <w:pPr>
              <w:pStyle w:val="TableContents"/>
              <w:bidi w:val="0"/>
              <w:spacing w:before="0" w:after="150"/>
              <w:rPr/>
            </w:pPr>
            <w:r>
              <w:rPr/>
              <w:t>120</w:t>
            </w:r>
          </w:p>
        </w:tc>
        <w:tc>
          <w:tcPr>
            <w:tcW w:w="2701" w:type="dxa"/>
            <w:tcBorders/>
            <w:vAlign w:val="center"/>
          </w:tcPr>
          <w:p>
            <w:pPr>
              <w:pStyle w:val="TableContents"/>
              <w:bidi w:val="0"/>
              <w:spacing w:before="0" w:after="150"/>
              <w:rPr/>
            </w:pPr>
            <w:r>
              <w:rPr/>
              <w:t>120</w:t>
            </w:r>
          </w:p>
        </w:tc>
        <w:tc>
          <w:tcPr>
            <w:tcW w:w="2878" w:type="dxa"/>
            <w:tcBorders/>
            <w:vAlign w:val="center"/>
          </w:tcPr>
          <w:p>
            <w:pPr>
              <w:pStyle w:val="TableContents"/>
              <w:bidi w:val="0"/>
              <w:spacing w:before="0" w:after="150"/>
              <w:rPr/>
            </w:pPr>
            <w:r>
              <w:rPr/>
              <w:t>100%</w:t>
            </w:r>
          </w:p>
        </w:tc>
      </w:tr>
      <w:tr>
        <w:trPr/>
        <w:tc>
          <w:tcPr>
            <w:tcW w:w="2969" w:type="dxa"/>
            <w:tcBorders/>
            <w:vAlign w:val="center"/>
          </w:tcPr>
          <w:p>
            <w:pPr>
              <w:pStyle w:val="TableContents"/>
              <w:bidi w:val="0"/>
              <w:spacing w:before="0" w:after="150"/>
              <w:rPr/>
            </w:pPr>
            <w:r>
              <w:rPr/>
              <w:t>Sales &amp; Marketing</w:t>
            </w:r>
          </w:p>
        </w:tc>
        <w:tc>
          <w:tcPr>
            <w:tcW w:w="2791" w:type="dxa"/>
            <w:tcBorders/>
            <w:vAlign w:val="center"/>
          </w:tcPr>
          <w:p>
            <w:pPr>
              <w:pStyle w:val="TableContents"/>
              <w:bidi w:val="0"/>
              <w:spacing w:before="0" w:after="150"/>
              <w:rPr/>
            </w:pPr>
            <w:r>
              <w:rPr/>
              <w:t>65</w:t>
            </w:r>
          </w:p>
        </w:tc>
        <w:tc>
          <w:tcPr>
            <w:tcW w:w="2701" w:type="dxa"/>
            <w:tcBorders/>
            <w:vAlign w:val="center"/>
          </w:tcPr>
          <w:p>
            <w:pPr>
              <w:pStyle w:val="TableContents"/>
              <w:bidi w:val="0"/>
              <w:spacing w:before="0" w:after="150"/>
              <w:rPr/>
            </w:pPr>
            <w:r>
              <w:rPr/>
              <w:t>65</w:t>
            </w:r>
          </w:p>
        </w:tc>
        <w:tc>
          <w:tcPr>
            <w:tcW w:w="2878" w:type="dxa"/>
            <w:tcBorders/>
            <w:vAlign w:val="center"/>
          </w:tcPr>
          <w:p>
            <w:pPr>
              <w:pStyle w:val="TableContents"/>
              <w:bidi w:val="0"/>
              <w:spacing w:before="0" w:after="150"/>
              <w:rPr/>
            </w:pPr>
            <w:r>
              <w:rPr/>
              <w:t>100%</w:t>
            </w:r>
          </w:p>
        </w:tc>
      </w:tr>
      <w:tr>
        <w:trPr/>
        <w:tc>
          <w:tcPr>
            <w:tcW w:w="2969" w:type="dxa"/>
            <w:tcBorders/>
            <w:vAlign w:val="center"/>
          </w:tcPr>
          <w:p>
            <w:pPr>
              <w:pStyle w:val="TableContents"/>
              <w:bidi w:val="0"/>
              <w:spacing w:before="0" w:after="150"/>
              <w:rPr/>
            </w:pPr>
            <w:r>
              <w:rPr/>
              <w:t>Finance &amp; Accounting</w:t>
            </w:r>
          </w:p>
        </w:tc>
        <w:tc>
          <w:tcPr>
            <w:tcW w:w="2791" w:type="dxa"/>
            <w:tcBorders/>
            <w:vAlign w:val="center"/>
          </w:tcPr>
          <w:p>
            <w:pPr>
              <w:pStyle w:val="TableContents"/>
              <w:bidi w:val="0"/>
              <w:spacing w:before="0" w:after="150"/>
              <w:rPr/>
            </w:pPr>
            <w:r>
              <w:rPr/>
              <w:t>40</w:t>
            </w:r>
          </w:p>
        </w:tc>
        <w:tc>
          <w:tcPr>
            <w:tcW w:w="2701" w:type="dxa"/>
            <w:tcBorders/>
            <w:vAlign w:val="center"/>
          </w:tcPr>
          <w:p>
            <w:pPr>
              <w:pStyle w:val="TableContents"/>
              <w:bidi w:val="0"/>
              <w:spacing w:before="0" w:after="150"/>
              <w:rPr/>
            </w:pPr>
            <w:r>
              <w:rPr/>
              <w:t>40</w:t>
            </w:r>
          </w:p>
        </w:tc>
        <w:tc>
          <w:tcPr>
            <w:tcW w:w="2878" w:type="dxa"/>
            <w:tcBorders/>
            <w:vAlign w:val="center"/>
          </w:tcPr>
          <w:p>
            <w:pPr>
              <w:pStyle w:val="TableContents"/>
              <w:bidi w:val="0"/>
              <w:spacing w:before="0" w:after="150"/>
              <w:rPr/>
            </w:pPr>
            <w:r>
              <w:rPr/>
              <w:t>100%</w:t>
            </w:r>
          </w:p>
        </w:tc>
      </w:tr>
      <w:tr>
        <w:trPr/>
        <w:tc>
          <w:tcPr>
            <w:tcW w:w="2969" w:type="dxa"/>
            <w:tcBorders/>
            <w:vAlign w:val="center"/>
          </w:tcPr>
          <w:p>
            <w:pPr>
              <w:pStyle w:val="TableContents"/>
              <w:bidi w:val="0"/>
              <w:spacing w:before="0" w:after="150"/>
              <w:rPr/>
            </w:pPr>
            <w:r>
              <w:rPr/>
              <w:t>IT &amp; Support</w:t>
            </w:r>
          </w:p>
        </w:tc>
        <w:tc>
          <w:tcPr>
            <w:tcW w:w="2791" w:type="dxa"/>
            <w:tcBorders/>
            <w:vAlign w:val="center"/>
          </w:tcPr>
          <w:p>
            <w:pPr>
              <w:pStyle w:val="TableContents"/>
              <w:bidi w:val="0"/>
              <w:spacing w:before="0" w:after="150"/>
              <w:rPr/>
            </w:pPr>
            <w:r>
              <w:rPr/>
              <w:t>20</w:t>
            </w:r>
          </w:p>
        </w:tc>
        <w:tc>
          <w:tcPr>
            <w:tcW w:w="2701" w:type="dxa"/>
            <w:tcBorders/>
            <w:vAlign w:val="center"/>
          </w:tcPr>
          <w:p>
            <w:pPr>
              <w:pStyle w:val="TableContents"/>
              <w:bidi w:val="0"/>
              <w:spacing w:before="0" w:after="150"/>
              <w:rPr/>
            </w:pPr>
            <w:r>
              <w:rPr/>
              <w:t>20</w:t>
            </w:r>
          </w:p>
        </w:tc>
        <w:tc>
          <w:tcPr>
            <w:tcW w:w="2878" w:type="dxa"/>
            <w:tcBorders/>
            <w:vAlign w:val="center"/>
          </w:tcPr>
          <w:p>
            <w:pPr>
              <w:pStyle w:val="TableContents"/>
              <w:bidi w:val="0"/>
              <w:spacing w:before="0" w:after="150"/>
              <w:rPr/>
            </w:pPr>
            <w:r>
              <w:rPr/>
              <w:t>100%</w:t>
            </w:r>
          </w:p>
        </w:tc>
      </w:tr>
    </w:tbl>
    <w:p>
      <w:pPr>
        <w:pStyle w:val="Heading2"/>
        <w:bidi w:val="0"/>
        <w:jc w:val="start"/>
        <w:rPr/>
      </w:pPr>
      <w:r>
        <w:rPr/>
        <w:t>10. Appendix C - Incident Log</w:t>
      </w:r>
    </w:p>
    <w:p>
      <w:pPr>
        <w:pStyle w:val="BodyText"/>
        <w:bidi w:val="0"/>
        <w:rPr/>
      </w:pPr>
      <w:r>
        <w:rPr/>
        <w:t>No security incidents were logged during Q3 2026. The log is empty for the reporting period. The absence of incidents is attributed to robust preventive controls and effective employee awareness. The incident response team remains on standby and has conducted two tabletop exercises to maintain readiness.</w:t>
      </w:r>
    </w:p>
    <w:p>
      <w:pPr>
        <w:pStyle w:val="Heading2"/>
        <w:bidi w:val="0"/>
        <w:jc w:val="start"/>
        <w:rPr/>
      </w:pPr>
      <w:r>
        <w:rPr/>
        <w:t>11. Appendix D - Vendor List</w:t>
      </w:r>
    </w:p>
    <w:p>
      <w:pPr>
        <w:pStyle w:val="BodyText"/>
        <w:bidi w:val="0"/>
        <w:rPr/>
      </w:pPr>
      <w:r>
        <w:rPr/>
        <w:t>List of all third-party vendors with compliance status. All vendors are current.</w:t>
      </w:r>
    </w:p>
    <w:p>
      <w:pPr>
        <w:pStyle w:val="BodyText"/>
        <w:numPr>
          <w:ilvl w:val="0"/>
          <w:numId w:val="1"/>
        </w:numPr>
        <w:tabs>
          <w:tab w:val="clear" w:pos="1134"/>
          <w:tab w:val="left" w:pos="2149" w:leader="none"/>
        </w:tabs>
        <w:bidi w:val="0"/>
        <w:spacing w:before="0" w:after="0"/>
        <w:ind w:hanging="283" w:start="2149"/>
        <w:rPr/>
      </w:pPr>
      <w:r>
        <w:rPr/>
        <w:t xml:space="preserve">Vendor A: Compliant </w:t>
      </w:r>
    </w:p>
    <w:p>
      <w:pPr>
        <w:pStyle w:val="BodyText"/>
        <w:numPr>
          <w:ilvl w:val="0"/>
          <w:numId w:val="1"/>
        </w:numPr>
        <w:tabs>
          <w:tab w:val="clear" w:pos="1134"/>
          <w:tab w:val="left" w:pos="2149" w:leader="none"/>
        </w:tabs>
        <w:bidi w:val="0"/>
        <w:spacing w:before="0" w:after="0"/>
        <w:ind w:hanging="283" w:start="2149"/>
        <w:rPr/>
      </w:pPr>
      <w:r>
        <w:rPr/>
        <w:t xml:space="preserve">Vendor B: Compliant </w:t>
      </w:r>
    </w:p>
    <w:p>
      <w:pPr>
        <w:pStyle w:val="BodyText"/>
        <w:numPr>
          <w:ilvl w:val="0"/>
          <w:numId w:val="1"/>
        </w:numPr>
        <w:tabs>
          <w:tab w:val="clear" w:pos="1134"/>
          <w:tab w:val="left" w:pos="2149" w:leader="none"/>
        </w:tabs>
        <w:bidi w:val="0"/>
        <w:spacing w:before="0" w:after="0"/>
        <w:ind w:hanging="283" w:start="2149"/>
        <w:rPr/>
      </w:pPr>
      <w:r>
        <w:rPr/>
        <w:t xml:space="preserve">Vendor C: Compliant (Remediated) </w:t>
      </w:r>
    </w:p>
    <w:p>
      <w:pPr>
        <w:pStyle w:val="BodyText"/>
        <w:numPr>
          <w:ilvl w:val="0"/>
          <w:numId w:val="1"/>
        </w:numPr>
        <w:tabs>
          <w:tab w:val="clear" w:pos="1134"/>
          <w:tab w:val="left" w:pos="2149" w:leader="none"/>
        </w:tabs>
        <w:bidi w:val="0"/>
        <w:ind w:hanging="283" w:start="2149"/>
        <w:rPr/>
      </w:pPr>
      <w:r>
        <w:rPr/>
        <w:t xml:space="preserve">Vendor D: Compliant (Remediated) </w:t>
      </w:r>
    </w:p>
    <w:p>
      <w:pPr>
        <w:pStyle w:val="Heading2"/>
        <w:bidi w:val="0"/>
        <w:jc w:val="start"/>
        <w:rPr/>
      </w:pPr>
      <w:r>
        <w:rPr/>
        <w:t>12. Appendix E - Contact Information</w:t>
      </w:r>
    </w:p>
    <w:p>
      <w:pPr>
        <w:pStyle w:val="BodyText"/>
        <w:bidi w:val="0"/>
        <w:rPr/>
      </w:pPr>
      <w:r>
        <w:rPr/>
        <w:t>Compliance team contact details for follow-up questions.</w:t>
      </w:r>
    </w:p>
    <w:p>
      <w:pPr>
        <w:pStyle w:val="BodyText"/>
        <w:bidi w:val="0"/>
        <w:rPr/>
      </w:pPr>
      <w:r>
        <w:rPr>
          <w:rStyle w:val="Strong"/>
        </w:rPr>
        <w:t>Compliance Officer:</w:t>
      </w:r>
      <w:r>
        <w:rPr/>
        <w:t xml:space="preserve"> [NAME]</w:t>
        <w:br/>
      </w:r>
      <w:r>
        <w:rPr>
          <w:rStyle w:val="Strong"/>
        </w:rPr>
        <w:t>Email:</w:t>
      </w:r>
      <w:r>
        <w:rPr/>
        <w:t xml:space="preserve"> compliance@meridianlogistics.com</w:t>
        <w:br/>
      </w:r>
      <w:r>
        <w:rPr>
          <w:rStyle w:val="Strong"/>
        </w:rPr>
        <w:t>Phone:</w:t>
      </w:r>
      <w:r>
        <w:rPr/>
        <w:t xml:space="preserve"> (555) 123-4567</w:t>
        <w:br/>
      </w:r>
      <w:r>
        <w:rPr>
          <w:rStyle w:val="Strong"/>
        </w:rPr>
        <w:t>Address:</w:t>
      </w:r>
      <w:r>
        <w:rPr/>
        <w:t xml:space="preserve"> Meridian Logistics HQ, 123 Industry Way, Suite 400, City, State 12345</w:t>
      </w:r>
    </w:p>
    <w:p>
      <w:pPr>
        <w:pStyle w:val="BodyTextsig-label"/>
        <w:bidi w:val="0"/>
        <w:spacing w:before="450" w:after="150"/>
        <w:ind w:hanging="0" w:start="0" w:end="0"/>
        <w:rPr/>
      </w:pPr>
      <w:r>
        <w:rPr>
          <w:rStyle w:val="Strong"/>
        </w:rPr>
        <w:t>Prepared By:</w:t>
      </w:r>
      <w:r>
        <w:rPr/>
        <w:br/>
        <w:t>Compliance Manager</w:t>
        <w:br/>
        <w:t>Date: October 15, 2026</w:t>
      </w:r>
    </w:p>
    <w:p>
      <w:pPr>
        <w:pStyle w:val="BodyTextsig-label"/>
        <w:bidi w:val="0"/>
        <w:spacing w:before="450" w:after="150"/>
        <w:ind w:hanging="0" w:start="0" w:end="0"/>
        <w:rPr/>
      </w:pPr>
      <w:r>
        <w:rPr>
          <w:rStyle w:val="Strong"/>
        </w:rPr>
        <w:t>Reviewed By:</w:t>
      </w:r>
      <w:r>
        <w:rPr/>
        <w:br/>
        <w:t>Chief Compliance Officer</w:t>
        <w:br/>
        <w:t>Date: October 15, 2026</w:t>
      </w:r>
    </w:p>
    <w:p>
      <w:pPr>
        <w:pStyle w:val="BodyText"/>
        <w:bidi w:val="0"/>
        <w:spacing w:before="600" w:after="150"/>
        <w:ind w:hanging="0" w:start="0" w:end="0"/>
        <w:jc w:val="center"/>
        <w:rPr>
          <w:color w:val="555555"/>
          <w:sz w:val="18"/>
          <w:bdr w:val="single" w:sz="2" w:space="8" w:color="333333"/>
        </w:rPr>
      </w:pPr>
      <w:r>
        <w:rPr>
          <w:color w:val="555555"/>
          <w:sz w:val="18"/>
          <w:bdr w:val="single" w:sz="2" w:space="8" w:color="333333"/>
        </w:rPr>
        <w:t xml:space="preserve">© 2026 Meridian Logistics. Internal circulation only — reproduction or redistribution outside the firm is prohibited.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Arial;Helvetica;sans-serif" w:hAnsi="Arial;Helvetica;sans-serif" w:eastAsia="Arial;Helvetica;sans-serif" w:cs="Arial;Helvetica;sans-serif"/>
      <w:color w:val="333333"/>
      <w:sz w:val="22"/>
      <w:szCs w:val="22"/>
      <w:lang w:val="en-US" w:eastAsia="zh-CN" w:bidi="hi-IN"/>
    </w:rPr>
  </w:style>
  <w:style w:type="paragraph" w:styleId="Heading1">
    <w:name w:val="Heading 1"/>
    <w:basedOn w:val="Heading"/>
    <w:next w:val="BodyText"/>
    <w:qFormat/>
    <w:pPr>
      <w:spacing w:before="240" w:after="75"/>
      <w:jc w:val="center"/>
    </w:pPr>
    <w:rPr>
      <w:rFonts w:ascii="Noto Sans" w:hAnsi="Noto Sans"/>
      <w:b/>
      <w:bCs/>
      <w:color w:val="1A1A1A"/>
      <w:sz w:val="36"/>
      <w:szCs w:val="36"/>
    </w:rPr>
  </w:style>
  <w:style w:type="paragraph" w:styleId="Heading2">
    <w:name w:val="Heading 2"/>
    <w:basedOn w:val="Heading"/>
    <w:next w:val="BodyText"/>
    <w:qFormat/>
    <w:pPr>
      <w:pBdr>
        <w:bottom w:val="single" w:sz="2" w:space="4" w:color="BDC3C7"/>
      </w:pBdr>
      <w:spacing w:before="300" w:after="150"/>
      <w:outlineLvl w:val="1"/>
    </w:pPr>
    <w:rPr>
      <w:rFonts w:ascii="Liberation Serif" w:hAnsi="Liberation Serif" w:eastAsia="Noto Serif CJK SC" w:cs="Noto Sans Devanagari"/>
      <w:b/>
      <w:bCs/>
      <w:color w:val="2C3E50"/>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color w:val="34495E"/>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sig-label">
    <w:name w:val="Body Text.sig-label"/>
    <w:basedOn w:val="BodyText"/>
    <w:qFormat/>
    <w:pPr>
      <w:spacing w:before="75" w:after="15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Q3 2026 Quarterly Compliance Report</dc:title>
</cp:coreProperties>
</file>

<file path=docProps/custom.xml><?xml version="1.0" encoding="utf-8"?>
<Properties xmlns="http://schemas.openxmlformats.org/officeDocument/2006/custom-properties" xmlns:vt="http://schemas.openxmlformats.org/officeDocument/2006/docPropsVTypes"/>
</file>