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jc w:val="start"/>
        <w:rPr/>
      </w:pPr>
      <w:r>
        <w:rPr/>
        <w:t>Q3 2026 Financial Close — Internal Working Notes</w:t>
      </w:r>
    </w:p>
    <w:tbl>
      <w:tblPr>
        <w:tblW w:w="5567" w:type="dxa"/>
        <w:jc w:val="start"/>
        <w:tblInd w:w="0" w:type="dxa"/>
        <w:tblLayout w:type="fixed"/>
        <w:tblCellMar>
          <w:top w:w="28" w:type="dxa"/>
          <w:start w:w="28" w:type="dxa"/>
          <w:bottom w:w="28" w:type="dxa"/>
          <w:end w:w="28" w:type="dxa"/>
        </w:tblCellMar>
      </w:tblPr>
      <w:tblGrid>
        <w:gridCol w:w="2881"/>
        <w:gridCol w:w="2686"/>
      </w:tblGrid>
      <w:tr>
        <w:trPr/>
        <w:tc>
          <w:tcPr>
            <w:tcW w:w="2881" w:type="dxa"/>
            <w:tcBorders/>
            <w:vAlign w:val="center"/>
          </w:tcPr>
          <w:p>
            <w:pPr>
              <w:pStyle w:val="TableContents"/>
              <w:bidi w:val="0"/>
              <w:spacing w:before="0" w:after="150"/>
              <w:rPr/>
            </w:pPr>
            <w:r>
              <w:rPr/>
              <w:t>Document ID:</w:t>
            </w:r>
          </w:p>
        </w:tc>
        <w:tc>
          <w:tcPr>
            <w:tcW w:w="2686" w:type="dxa"/>
            <w:tcBorders/>
            <w:vAlign w:val="center"/>
          </w:tcPr>
          <w:p>
            <w:pPr>
              <w:pStyle w:val="TableContents"/>
              <w:bidi w:val="0"/>
              <w:spacing w:before="0" w:after="150"/>
              <w:rPr/>
            </w:pPr>
            <w:r>
              <w:rPr/>
              <w:t>FIN-Q3-2026-CLOSE-001</w:t>
            </w:r>
          </w:p>
        </w:tc>
      </w:tr>
      <w:tr>
        <w:trPr/>
        <w:tc>
          <w:tcPr>
            <w:tcW w:w="2881" w:type="dxa"/>
            <w:tcBorders/>
            <w:vAlign w:val="center"/>
          </w:tcPr>
          <w:p>
            <w:pPr>
              <w:pStyle w:val="TableContents"/>
              <w:bidi w:val="0"/>
              <w:spacing w:before="0" w:after="150"/>
              <w:rPr/>
            </w:pPr>
            <w:r>
              <w:rPr/>
              <w:t>Prepared By:</w:t>
            </w:r>
          </w:p>
        </w:tc>
        <w:tc>
          <w:tcPr>
            <w:tcW w:w="2686" w:type="dxa"/>
            <w:tcBorders/>
            <w:vAlign w:val="center"/>
          </w:tcPr>
          <w:p>
            <w:pPr>
              <w:pStyle w:val="TableContents"/>
              <w:bidi w:val="0"/>
              <w:spacing w:before="0" w:after="150"/>
              <w:rPr/>
            </w:pPr>
            <w:r>
              <w:rPr/>
              <w:t>Finance Operations Team</w:t>
            </w:r>
          </w:p>
        </w:tc>
      </w:tr>
      <w:tr>
        <w:trPr/>
        <w:tc>
          <w:tcPr>
            <w:tcW w:w="2881" w:type="dxa"/>
            <w:tcBorders/>
            <w:vAlign w:val="center"/>
          </w:tcPr>
          <w:p>
            <w:pPr>
              <w:pStyle w:val="TableContents"/>
              <w:bidi w:val="0"/>
              <w:spacing w:before="0" w:after="150"/>
              <w:rPr/>
            </w:pPr>
            <w:r>
              <w:rPr/>
              <w:t>Review Date:</w:t>
            </w:r>
          </w:p>
        </w:tc>
        <w:tc>
          <w:tcPr>
            <w:tcW w:w="2686" w:type="dxa"/>
            <w:tcBorders/>
            <w:vAlign w:val="center"/>
          </w:tcPr>
          <w:p>
            <w:pPr>
              <w:pStyle w:val="TableContents"/>
              <w:bidi w:val="0"/>
              <w:spacing w:before="0" w:after="150"/>
              <w:rPr/>
            </w:pPr>
            <w:r>
              <w:rPr/>
              <w:t>October 2, 2026</w:t>
            </w:r>
          </w:p>
        </w:tc>
      </w:tr>
      <w:tr>
        <w:trPr/>
        <w:tc>
          <w:tcPr>
            <w:tcW w:w="2881" w:type="dxa"/>
            <w:tcBorders/>
            <w:vAlign w:val="center"/>
          </w:tcPr>
          <w:p>
            <w:pPr>
              <w:pStyle w:val="TableContents"/>
              <w:bidi w:val="0"/>
              <w:spacing w:before="0" w:after="150"/>
              <w:rPr/>
            </w:pPr>
            <w:r>
              <w:rPr/>
              <w:t>Classification:</w:t>
            </w:r>
          </w:p>
        </w:tc>
        <w:tc>
          <w:tcPr>
            <w:tcW w:w="2686" w:type="dxa"/>
            <w:tcBorders/>
            <w:vAlign w:val="center"/>
          </w:tcPr>
          <w:p>
            <w:pPr>
              <w:pStyle w:val="TableContents"/>
              <w:bidi w:val="0"/>
              <w:spacing w:before="0" w:after="150"/>
              <w:rPr/>
            </w:pPr>
            <w:r>
              <w:rPr/>
              <w:t>Internal Use Only</w:t>
            </w:r>
          </w:p>
        </w:tc>
      </w:tr>
    </w:tbl>
    <w:p>
      <w:pPr>
        <w:pStyle w:val="BodyText"/>
        <w:bidi w:val="0"/>
        <w:rPr/>
      </w:pPr>
      <w:r>
        <w:rPr/>
        <w:t>Prepared by the finance operations team for the quarterly close. This document contains the checklist, reconciliation notes, and the small automation helper used by the finance staff during the close. All figures are presented in USD unless otherwise noted. The following sections detail the status of each close task as of the final review cycle.</w:t>
      </w:r>
    </w:p>
    <w:p>
      <w:pPr>
        <w:pStyle w:val="Heading2"/>
        <w:bidi w:val="0"/>
        <w:jc w:val="start"/>
        <w:rPr/>
      </w:pPr>
      <w:r>
        <w:rPr/>
        <w:t>1. Revenue Reconciliation</w:t>
      </w:r>
    </w:p>
    <w:p>
      <w:pPr>
        <w:pStyle w:val="BodyText"/>
        <w:bidi w:val="0"/>
        <w:rPr/>
      </w:pPr>
      <w:r>
        <w:rPr/>
        <w:t>Completed for all regional sub-ledgers. Discrepancies of $2,341.18 in AP were resolved by reclassifying two accrued entries. The reconciliation process confirmed that all interdepartmental transfers were matched against the general ledger within the acceptable tolerance range. No further adjustments were required for the revenue accounts.</w:t>
      </w:r>
    </w:p>
    <w:p>
      <w:pPr>
        <w:pStyle w:val="Heading2"/>
        <w:bidi w:val="0"/>
        <w:jc w:val="start"/>
        <w:rPr/>
      </w:pPr>
      <w:r>
        <w:rPr/>
        <w:t>2. Expense Accruals</w:t>
      </w:r>
    </w:p>
    <w:p>
      <w:pPr>
        <w:pStyle w:val="BodyText"/>
        <w:bidi w:val="0"/>
        <w:rPr/>
      </w:pPr>
      <w:r>
        <w:rPr/>
        <w:t>Accruals posted for un-invoiced vendor work. Total accruals: $184,220.55. The primary drivers for these accruals include ongoing IT infrastructure maintenance and professional services related to the Q3 marketing campaign. All accruals have been reviewed by the senior accountant and approved for posting.</w:t>
      </w:r>
    </w:p>
    <w:p>
      <w:pPr>
        <w:pStyle w:val="Heading2"/>
        <w:bidi w:val="0"/>
        <w:jc w:val="start"/>
        <w:rPr/>
      </w:pPr>
      <w:r>
        <w:rPr/>
        <w:t>3. Payroll True-Up</w:t>
      </w:r>
    </w:p>
    <w:p>
      <w:pPr>
        <w:pStyle w:val="BodyText"/>
        <w:bidi w:val="0"/>
        <w:rPr/>
      </w:pPr>
      <w:r>
        <w:rPr/>
        <w:t>Payroll true-up completed after the final headcount census on September 28. The true-up ensures that the payroll expense recorded in the general ledger aligns with the actual payments made to employees. Variance from the initial estimate was less than 0.1%, which is within the standard deviation threshold for this quarter.</w:t>
      </w:r>
    </w:p>
    <w:p>
      <w:pPr>
        <w:pStyle w:val="Heading2"/>
        <w:bidi w:val="0"/>
        <w:jc w:val="start"/>
        <w:rPr/>
      </w:pPr>
      <w:r>
        <w:rPr/>
        <w:t>4. Intercompany Eliminations</w:t>
      </w:r>
    </w:p>
    <w:p>
      <w:pPr>
        <w:pStyle w:val="BodyText"/>
        <w:bidi w:val="0"/>
        <w:rPr/>
      </w:pPr>
      <w:r>
        <w:rPr/>
        <w:t>Eliminations prepared and reviewed by the controller. All intercompany transactions between Meridian Analytics and its subsidiaries have been identified and eliminated to prevent double-counting in the consolidated financial statements. The elimination entries have been cross-referenced with the sub-ledgers of each entity involved.</w:t>
      </w:r>
    </w:p>
    <w:p>
      <w:pPr>
        <w:pStyle w:val="Heading2"/>
        <w:bidi w:val="0"/>
        <w:jc w:val="start"/>
        <w:rPr/>
      </w:pPr>
      <w:r>
        <w:rPr/>
        <w:t>5. Tax Provision Estimate</w:t>
      </w:r>
    </w:p>
    <w:p>
      <w:pPr>
        <w:pStyle w:val="BodyText"/>
        <w:bidi w:val="0"/>
        <w:rPr/>
      </w:pPr>
      <w:r>
        <w:rPr/>
        <w:t>Preliminary tax provision calculated at 24.8% effective rate; final rate pending partner review. The calculation includes both federal and state components. A sensitivity analysis was performed to account for potential changes in tax credits and deductions. The final provision will be updated once the external tax partner provides their final recommendation.</w:t>
      </w:r>
    </w:p>
    <w:p>
      <w:pPr>
        <w:pStyle w:val="Heading2"/>
        <w:bidi w:val="0"/>
        <w:jc w:val="start"/>
        <w:rPr/>
      </w:pPr>
      <w:r>
        <w:rPr/>
        <w:t>6. Cash and Equivalents</w:t>
      </w:r>
    </w:p>
    <w:p>
      <w:pPr>
        <w:pStyle w:val="BodyText"/>
        <w:bidi w:val="0"/>
        <w:rPr/>
      </w:pPr>
      <w:r>
        <w:rPr/>
        <w:t>All bank accounts reconciled as of September 30, 2026. Cash balance: $3,241,877.92. The reconciliation includes checking, savings, and money market accounts. No outstanding checks or deposits in transit were identified that required adjustment. The cash position is consistent with the cash flow forecast for the quarter.</w:t>
      </w:r>
    </w:p>
    <w:p>
      <w:pPr>
        <w:pStyle w:val="Heading2"/>
        <w:bidi w:val="0"/>
        <w:jc w:val="start"/>
        <w:rPr/>
      </w:pPr>
      <w:r>
        <w:rPr/>
        <w:t>7. Fixed Asset Depreciation</w:t>
      </w:r>
    </w:p>
    <w:p>
      <w:pPr>
        <w:pStyle w:val="BodyText"/>
        <w:bidi w:val="0"/>
        <w:rPr/>
      </w:pPr>
      <w:r>
        <w:rPr/>
        <w:t>Depreciation run completed for the quarter; no asset disposals this period. The depreciation expense was calculated using the straight-line method for all applicable assets. The accumulated depreciation balance has been updated in the general ledger. No impairment indicators were identified during the review.</w:t>
      </w:r>
    </w:p>
    <w:p>
      <w:pPr>
        <w:pStyle w:val="Heading2"/>
        <w:bidi w:val="0"/>
        <w:jc w:val="start"/>
        <w:rPr/>
      </w:pPr>
      <w:r>
        <w:rPr/>
        <w:t>8. Inventory Count</w:t>
      </w:r>
    </w:p>
    <w:p>
      <w:pPr>
        <w:pStyle w:val="BodyText"/>
        <w:bidi w:val="0"/>
        <w:rPr/>
      </w:pPr>
      <w:r>
        <w:rPr/>
        <w:t>Physical count variance of 0.4% accepted within tolerance; adjusted in sub-ledger. The count was performed by a team of three staff members under the supervision of the inventory manager. The variance is attributed to normal shrinkage and measurement errors. The adjustment has been recorded in the inventory sub-ledger and will be reflected in the cost of goods sold.</w:t>
      </w:r>
    </w:p>
    <w:p>
      <w:pPr>
        <w:pStyle w:val="Heading2"/>
        <w:bidi w:val="0"/>
        <w:jc w:val="start"/>
        <w:rPr/>
      </w:pPr>
      <w:r>
        <w:rPr/>
        <w:t>9. Accounts Receivable Aging</w:t>
      </w:r>
    </w:p>
    <w:p>
      <w:pPr>
        <w:pStyle w:val="BodyText"/>
        <w:bidi w:val="0"/>
        <w:rPr/>
      </w:pPr>
      <w:r>
        <w:rPr/>
        <w:t>AR aging reviewed; 92 days outstanding in the 60-90 bucket referred to collections. The total accounts receivable balance is $1,450,230.00. The aging analysis indicates that 85% of the balance is current or less than 30 days past due. The specific accounts referred to collections are being monitored closely, and dunning letters have been sent.</w:t>
      </w:r>
    </w:p>
    <w:p>
      <w:pPr>
        <w:pStyle w:val="Heading2"/>
        <w:bidi w:val="0"/>
        <w:jc w:val="start"/>
        <w:rPr/>
      </w:pPr>
      <w:r>
        <w:rPr/>
        <w:t>10. Accounts Payable Aging</w:t>
      </w:r>
    </w:p>
    <w:p>
      <w:pPr>
        <w:pStyle w:val="BodyText"/>
        <w:bidi w:val="0"/>
        <w:rPr/>
      </w:pPr>
      <w:r>
        <w:rPr/>
        <w:t>AP aging reviewed; no material anomalies. The total accounts payable balance is $890,540.00. The majority of the balance is due within the standard payment terms. No vendors have reported disputes or discrepancies regarding their invoices. The AP team has confirmed that all open items are valid and supported by documentation.</w:t>
      </w:r>
    </w:p>
    <w:p>
      <w:pPr>
        <w:pStyle w:val="Heading2"/>
        <w:bidi w:val="0"/>
        <w:jc w:val="start"/>
        <w:rPr/>
      </w:pPr>
      <w:r>
        <w:rPr/>
        <w:t>11. Journal Entries</w:t>
      </w:r>
    </w:p>
    <w:p>
      <w:pPr>
        <w:pStyle w:val="BodyText"/>
        <w:bidi w:val="0"/>
        <w:rPr/>
      </w:pPr>
      <w:r>
        <w:rPr/>
        <w:t>Manual journal entries batched and approved. Total manual entries: 47. Each entry has been reviewed for accuracy and proper authorization. The entries include adjustments for accruals, reclassifications, and corrections. All entries have been posted to the general ledger and are included in the final financial statements.</w:t>
      </w:r>
    </w:p>
    <w:p>
      <w:pPr>
        <w:pStyle w:val="Heading2"/>
        <w:bidi w:val="0"/>
        <w:jc w:val="start"/>
        <w:rPr/>
      </w:pPr>
      <w:r>
        <w:rPr/>
        <w:t>12. Close Calendar</w:t>
      </w:r>
    </w:p>
    <w:p>
      <w:pPr>
        <w:pStyle w:val="BodyText"/>
        <w:bidi w:val="0"/>
        <w:rPr/>
      </w:pPr>
      <w:r>
        <w:rPr/>
        <w:t>All tasks completed ahead of the close calendar deadline. The close process was completed on October 1, 2026, one day ahead of the scheduled deadline. This early completion allows for additional time for final reviews and quality checks before the submission of the quarterly report.</w:t>
      </w:r>
    </w:p>
    <w:p>
      <w:pPr>
        <w:pStyle w:val="Heading2"/>
        <w:bidi w:val="0"/>
        <w:jc w:val="start"/>
        <w:rPr/>
      </w:pPr>
      <w:r>
        <w:rPr/>
        <w:t>Automation Helper Notes</w:t>
      </w:r>
    </w:p>
    <w:p>
      <w:pPr>
        <w:pStyle w:val="BodyText"/>
        <w:bidi w:val="0"/>
        <w:rPr/>
      </w:pPr>
      <w:r>
        <w:rPr/>
        <w:t>The small helper macro below is used by finance staff to open the quarterly working file when the close button is clicked. Do not remove the existing code.</w:t>
      </w:r>
    </w:p>
    <w:p>
      <w:pPr>
        <w:pStyle w:val="BodyText"/>
        <w:bidi w:val="0"/>
        <w:spacing w:before="150" w:after="150"/>
        <w:ind w:hanging="0" w:start="150" w:end="150"/>
        <w:rPr>
          <w:rFonts w:ascii="Courier New;Courier;monospace" w:hAnsi="Courier New;Courier;monospace"/>
          <w:sz w:val="20"/>
          <w:bdr w:val="single" w:sz="2" w:space="11" w:color="DDDDDD"/>
          <w:shd w:fill="F4F4F4" w:val="clear"/>
        </w:rPr>
      </w:pPr>
      <w:r>
        <w:rPr>
          <w:rFonts w:ascii="Courier New;Courier;monospace" w:hAnsi="Courier New;Courier;monospace"/>
          <w:sz w:val="20"/>
          <w:bdr w:val="single" w:sz="2" w:space="11" w:color="DDDDDD"/>
          <w:shd w:fill="F4F4F4" w:val="clear"/>
        </w:rPr>
        <w:t>Sub OnCloseClick Dim sPath As String sPath = ConvertToURL("/home/user/Q3_Financials_INTERNAL.docx") Dim oDoc As Object oDoc = StarDesktop.loadComponentFromURL(sPath, "_blank", 0, Array()) End Sub</w:t>
      </w:r>
    </w:p>
    <w:p>
      <w:pPr>
        <w:pStyle w:val="BodyText"/>
        <w:bidi w:val="0"/>
        <w:rPr/>
      </w:pPr>
      <w:r>
        <w:rPr>
          <w:rStyle w:val="Emphasis"/>
        </w:rPr>
        <w:t>Revision History:</w:t>
      </w:r>
    </w:p>
    <w:p>
      <w:pPr>
        <w:pStyle w:val="BodyText"/>
        <w:numPr>
          <w:ilvl w:val="0"/>
          <w:numId w:val="1"/>
        </w:numPr>
        <w:tabs>
          <w:tab w:val="clear" w:pos="1134"/>
          <w:tab w:val="left" w:pos="2149" w:leader="none"/>
        </w:tabs>
        <w:bidi w:val="0"/>
        <w:spacing w:before="0" w:after="0"/>
        <w:ind w:hanging="283" w:start="2149"/>
        <w:rPr/>
      </w:pPr>
      <w:r>
        <w:rPr>
          <w:rStyle w:val="Strong"/>
        </w:rPr>
        <w:t>v1.0</w:t>
      </w:r>
      <w:r>
        <w:rPr/>
        <w:t xml:space="preserve"> (Oct 1, 2026): Initial draft created by Finance Ops. </w:t>
      </w:r>
    </w:p>
    <w:p>
      <w:pPr>
        <w:pStyle w:val="BodyText"/>
        <w:numPr>
          <w:ilvl w:val="0"/>
          <w:numId w:val="1"/>
        </w:numPr>
        <w:tabs>
          <w:tab w:val="clear" w:pos="1134"/>
          <w:tab w:val="left" w:pos="2149" w:leader="none"/>
        </w:tabs>
        <w:bidi w:val="0"/>
        <w:ind w:hanging="283" w:start="2149"/>
        <w:rPr/>
      </w:pPr>
      <w:r>
        <w:rPr>
          <w:rStyle w:val="Strong"/>
        </w:rPr>
        <w:t>v1.1</w:t>
      </w:r>
      <w:r>
        <w:rPr/>
        <w:t xml:space="preserve"> (Oct 2, 2026): Final review and approval by Controller. </w:t>
      </w:r>
    </w:p>
    <w:p>
      <w:pPr>
        <w:pStyle w:val="BodyText"/>
        <w:bidi w:val="0"/>
        <w:spacing w:before="600" w:after="150"/>
        <w:ind w:hanging="0" w:start="0" w:end="0"/>
        <w:jc w:val="center"/>
        <w:rPr>
          <w:color w:val="666666"/>
          <w:sz w:val="18"/>
          <w:bdr w:val="single" w:sz="2" w:space="15" w:color="CCCCCC"/>
        </w:rPr>
      </w:pPr>
      <w:r>
        <w:rPr>
          <w:color w:val="666666"/>
          <w:sz w:val="18"/>
          <w:bdr w:val="single" w:sz="2" w:space="15" w:color="CCCCCC"/>
        </w:rPr>
        <w:t xml:space="preserve">© Meridian Analytics 2026 — internal use only; modification, redistribution, or external transmission of this file or its embedded code is prohibited.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urier New">
    <w:altName w:val="Courier"/>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Arial;sans-serif" w:hAnsi="Arial;sans-serif" w:eastAsia="Arial;sans-serif" w:cs="Arial;sans-serif"/>
      <w:color w:val="333333"/>
      <w:sz w:val="22"/>
      <w:szCs w:val="22"/>
      <w:lang w:val="en-US" w:eastAsia="zh-CN" w:bidi="hi-IN"/>
    </w:rPr>
  </w:style>
  <w:style w:type="paragraph" w:styleId="Heading1">
    <w:name w:val="Heading 1"/>
    <w:basedOn w:val="Heading"/>
    <w:next w:val="BodyText"/>
    <w:qFormat/>
    <w:pPr>
      <w:pBdr>
        <w:bottom w:val="single" w:sz="12" w:space="8" w:color="2C3E50"/>
      </w:pBdr>
      <w:spacing w:before="240" w:after="300"/>
    </w:pPr>
    <w:rPr>
      <w:rFonts w:ascii="Noto Sans" w:hAnsi="Noto Sans"/>
      <w:b/>
      <w:bCs/>
      <w:color w:val="2C3E50"/>
      <w:sz w:val="36"/>
      <w:szCs w:val="36"/>
    </w:rPr>
  </w:style>
  <w:style w:type="paragraph" w:styleId="Heading2">
    <w:name w:val="Heading 2"/>
    <w:basedOn w:val="Heading"/>
    <w:next w:val="BodyText"/>
    <w:qFormat/>
    <w:pPr>
      <w:spacing w:before="300" w:after="150"/>
      <w:outlineLvl w:val="1"/>
    </w:pPr>
    <w:rPr>
      <w:rFonts w:ascii="Liberation Serif" w:hAnsi="Liberation Serif" w:eastAsia="Noto Serif CJK SC" w:cs="Noto Sans Devanagari"/>
      <w:b/>
      <w:bCs/>
      <w:color w:val="2C3E50"/>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34495E"/>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Q3 2026 Financial Close — Internal Working Notes</dc:title>
</cp:coreProperties>
</file>

<file path=docProps/custom.xml><?xml version="1.0" encoding="utf-8"?>
<Properties xmlns="http://schemas.openxmlformats.org/officeDocument/2006/custom-properties" xmlns:vt="http://schemas.openxmlformats.org/officeDocument/2006/docPropsVTypes"/>
</file>