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ind w:hanging="0" w:start="0" w:end="0"/>
        <w:jc w:val="center"/>
        <w:rPr>
          <w:bdr w:val="single" w:sz="12" w:space="8" w:color="000000"/>
        </w:rPr>
      </w:pPr>
      <w:r>
        <w:rPr>
          <w:bdr w:val="single" w:sz="12" w:space="8" w:color="000000"/>
        </w:rPr>
        <w:t>Employment Agreement</w:t>
      </w:r>
    </w:p>
    <w:p>
      <w:pPr>
        <w:pStyle w:val="BodyText"/>
        <w:bidi w:val="0"/>
        <w:spacing w:before="0" w:after="300"/>
        <w:ind w:hanging="0" w:start="0" w:end="0"/>
        <w:jc w:val="center"/>
        <w:rPr/>
      </w:pPr>
      <w:r>
        <w:rPr>
          <w:rStyle w:val="Strong"/>
          <w:color w:val="555555"/>
          <w:sz w:val="20"/>
          <w:bdr w:val="single" w:sz="12" w:space="8" w:color="000000"/>
        </w:rPr>
        <w:t>Document ID:</w:t>
      </w:r>
      <w:r>
        <w:rPr>
          <w:color w:val="555555"/>
          <w:sz w:val="20"/>
          <w:bdr w:val="single" w:sz="12" w:space="8" w:color="000000"/>
        </w:rPr>
        <w:t xml:space="preserve"> MS-EMP-2026-0042</w:t>
        <w:br/>
      </w:r>
      <w:r>
        <w:rPr>
          <w:rStyle w:val="Strong"/>
          <w:color w:val="555555"/>
          <w:sz w:val="20"/>
          <w:bdr w:val="single" w:sz="12" w:space="8" w:color="000000"/>
        </w:rPr>
        <w:t>Effective Date:</w:t>
      </w:r>
      <w:r>
        <w:rPr>
          <w:color w:val="555555"/>
          <w:sz w:val="20"/>
          <w:bdr w:val="single" w:sz="12" w:space="8" w:color="000000"/>
        </w:rPr>
        <w:t xml:space="preserve"> June 1, 2026</w:t>
        <w:br/>
      </w:r>
      <w:r>
        <w:rPr>
          <w:rStyle w:val="Strong"/>
          <w:color w:val="555555"/>
          <w:sz w:val="20"/>
          <w:bdr w:val="single" w:sz="12" w:space="8" w:color="000000"/>
        </w:rPr>
        <w:t>Classification:</w:t>
      </w:r>
      <w:r>
        <w:rPr>
          <w:color w:val="555555"/>
          <w:sz w:val="20"/>
          <w:bdr w:val="single" w:sz="12" w:space="8" w:color="000000"/>
        </w:rPr>
        <w:t xml:space="preserve"> Internal Master Version </w:t>
      </w:r>
    </w:p>
    <w:p>
      <w:pPr>
        <w:pStyle w:val="BodyText"/>
        <w:bidi w:val="0"/>
        <w:rPr/>
      </w:pPr>
      <w:r>
        <w:rPr/>
        <w:t>This Employment Agreement (the "Agreement") is made and entered into as of June 1, 2026, by and between Meridian Systems Ltd. ("Company") and the undersigned employee ("Employee"). The Company and the Employee are referred to individually as a "Party" and collectively as the "Parties."</w:t>
      </w:r>
    </w:p>
    <w:p>
      <w:pPr>
        <w:pStyle w:val="Heading2"/>
        <w:bidi w:val="0"/>
        <w:jc w:val="start"/>
        <w:rPr/>
      </w:pPr>
      <w:r>
        <w:rPr/>
        <w:t>1. Position and Duties</w:t>
      </w:r>
    </w:p>
    <w:p>
      <w:pPr>
        <w:pStyle w:val="BodyText"/>
        <w:bidi w:val="0"/>
        <w:rPr/>
      </w:pPr>
      <w:r>
        <w:rPr/>
        <w:t>Employee shall serve as Senior Product Engineer and perform the duties assigned by the Company from time to time. Employee shall devote their full business time and attention to the business of the Company. Employee agrees to act in the best interests of the Company and to comply with all Company policies, procedures, and codes of conduct in effect from time to time.</w:t>
      </w:r>
    </w:p>
    <w:p>
      <w:pPr>
        <w:pStyle w:val="Heading2"/>
        <w:bidi w:val="0"/>
        <w:jc w:val="start"/>
        <w:rPr/>
      </w:pPr>
      <w:r>
        <w:rPr/>
        <w:t>2. Start Date</w:t>
      </w:r>
    </w:p>
    <w:p>
      <w:pPr>
        <w:pStyle w:val="BodyText"/>
        <w:bidi w:val="0"/>
        <w:rPr/>
      </w:pPr>
      <w:r>
        <w:rPr/>
        <w:t>Employee's employment shall commence on June 15, 2026, subject to completion of background verification and receipt of any required work authorization. If any condition precedent is not satisfied by the scheduled start date, the Company may postpone the start date or rescind this offer at its sole discretion.</w:t>
      </w:r>
    </w:p>
    <w:p>
      <w:pPr>
        <w:pStyle w:val="Heading2"/>
        <w:bidi w:val="0"/>
        <w:jc w:val="start"/>
        <w:rPr/>
      </w:pPr>
      <w:r>
        <w:rPr/>
        <w:t>3. Compensation</w:t>
      </w:r>
    </w:p>
    <w:p>
      <w:pPr>
        <w:pStyle w:val="BodyText"/>
        <w:bidi w:val="0"/>
        <w:rPr/>
      </w:pPr>
      <w:r>
        <w:rPr/>
        <w:t>The annual base salary is $62,000.00. Salary shall be paid in accordance with the Company's standard payroll schedule, less applicable withholdings and deductions. Employee shall be eligible for a performance bonus under the Company's annual incentive plan, subject to the terms of that plan. Salary reviews are conducted annually, but no specific increase is guaranteed.</w:t>
      </w:r>
    </w:p>
    <w:p>
      <w:pPr>
        <w:pStyle w:val="Heading2"/>
        <w:bidi w:val="0"/>
        <w:jc w:val="start"/>
        <w:rPr/>
      </w:pPr>
      <w:r>
        <w:rPr/>
        <w:t>4. Benefits</w:t>
      </w:r>
    </w:p>
    <w:p>
      <w:pPr>
        <w:pStyle w:val="BodyText"/>
        <w:bidi w:val="0"/>
        <w:rPr/>
      </w:pPr>
      <w:r>
        <w:rPr/>
        <w:t>Employee shall be eligible to participate in the Company's group health, dental, and vision plans, the 401(k) plan, and the paid time off policy in effect from time to time, subject to the terms of each plan. Eligibility for certain benefits may be subject to a waiting period as defined in the plan documents.</w:t>
      </w:r>
    </w:p>
    <w:p>
      <w:pPr>
        <w:pStyle w:val="Heading2"/>
        <w:bidi w:val="0"/>
        <w:jc w:val="start"/>
        <w:rPr/>
      </w:pPr>
      <w:r>
        <w:rPr/>
        <w:t>5. Confidentiality</w:t>
      </w:r>
    </w:p>
    <w:p>
      <w:pPr>
        <w:pStyle w:val="BodyText"/>
        <w:bidi w:val="0"/>
        <w:rPr/>
      </w:pPr>
      <w:r>
        <w:rPr/>
        <w:t>Employee shall not, during or after employment, disclose any Confidential Information of the Company except as required by law or approved in writing by the Company. "Confidential Information" means non-public information relating to the Company's business, customers, product plans, and security practices. This obligation survives the termination of employment indefinitely.</w:t>
      </w:r>
    </w:p>
    <w:p>
      <w:pPr>
        <w:pStyle w:val="Heading2"/>
        <w:bidi w:val="0"/>
        <w:jc w:val="start"/>
        <w:rPr/>
      </w:pPr>
      <w:r>
        <w:rPr/>
        <w:t>6. Intellectual Property</w:t>
      </w:r>
    </w:p>
    <w:p>
      <w:pPr>
        <w:pStyle w:val="BodyText"/>
        <w:bidi w:val="0"/>
        <w:rPr/>
      </w:pPr>
      <w:r>
        <w:rPr/>
        <w:t>All work product created by Employee in the course of employment shall be the exclusive property of the Company, and Employee hereby assigns to the Company all right, title, and interest in such work product. Employee agrees to execute any further documents necessary to perfect the Company's ownership of such work product.</w:t>
      </w:r>
    </w:p>
    <w:p>
      <w:pPr>
        <w:pStyle w:val="Heading2"/>
        <w:bidi w:val="0"/>
        <w:jc w:val="start"/>
        <w:rPr/>
      </w:pPr>
      <w:r>
        <w:rPr/>
        <w:t>7. Term and Termination</w:t>
      </w:r>
    </w:p>
    <w:p>
      <w:pPr>
        <w:pStyle w:val="BodyText"/>
        <w:bidi w:val="0"/>
        <w:rPr/>
      </w:pPr>
      <w:r>
        <w:rPr/>
        <w:t>Employment is at-will and may be terminated by either party at any time, with or without cause, subject to applicable law. Upon termination, Employee shall return all Company property and complete any reasonable transition requests. The Company will provide final pay in accordance with applicable state and local laws.</w:t>
      </w:r>
    </w:p>
    <w:p>
      <w:pPr>
        <w:pStyle w:val="Heading2"/>
        <w:bidi w:val="0"/>
        <w:jc w:val="start"/>
        <w:rPr/>
      </w:pPr>
      <w:r>
        <w:rPr/>
        <w:t>8. Governing Law</w:t>
      </w:r>
    </w:p>
    <w:p>
      <w:pPr>
        <w:pStyle w:val="BodyText"/>
        <w:bidi w:val="0"/>
        <w:rPr/>
      </w:pPr>
      <w:r>
        <w:rPr/>
        <w:t>This Agreement shall be governed by the laws of the State of Delaware, without regard to its conflict-of-laws principles. Any disputes arising under this Agreement shall be resolved in the state or federal courts located in Delaware.</w:t>
      </w:r>
    </w:p>
    <w:p>
      <w:pPr>
        <w:pStyle w:val="Heading2"/>
        <w:bidi w:val="0"/>
        <w:jc w:val="start"/>
        <w:rPr/>
      </w:pPr>
      <w:r>
        <w:rPr/>
        <w:t>9. Entire Agreement</w:t>
      </w:r>
    </w:p>
    <w:p>
      <w:pPr>
        <w:pStyle w:val="BodyText"/>
        <w:bidi w:val="0"/>
        <w:rPr/>
      </w:pPr>
      <w:r>
        <w:rPr/>
        <w:t>This Agreement, together with its exhibits, constitutes the entire agreement between the parties and supersedes all prior discussions and understandings. Amendments must be in writing and signed by both parties.</w:t>
      </w:r>
    </w:p>
    <w:p>
      <w:pPr>
        <w:pStyle w:val="Heading2"/>
        <w:bidi w:val="0"/>
        <w:jc w:val="start"/>
        <w:rPr/>
      </w:pPr>
      <w:r>
        <w:rPr/>
        <w:t>10. Counterparts</w:t>
      </w:r>
    </w:p>
    <w:p>
      <w:pPr>
        <w:pStyle w:val="BodyText"/>
        <w:bidi w:val="0"/>
        <w:rPr/>
      </w:pPr>
      <w:r>
        <w:rPr/>
        <w:t>This Agreement may be executed in counterparts, each of which is deemed an original and all of which together constitute one instrument. Electronic signatures shall be deemed valid and binding.</w:t>
      </w:r>
    </w:p>
    <w:p>
      <w:pPr>
        <w:pStyle w:val="BodyText"/>
        <w:bidi w:val="0"/>
        <w:spacing w:before="450" w:after="150"/>
        <w:ind w:hanging="0" w:start="0" w:end="0"/>
        <w:rPr/>
      </w:pPr>
      <w:r>
        <w:rPr>
          <w:rStyle w:val="Strong"/>
        </w:rPr>
        <w:t>IN WITNESS WHEREOF</w:t>
      </w:r>
      <w:r>
        <w:rPr/>
        <w:t>, the parties have executed this Employment Agreement as of the date first written above.</w:t>
      </w:r>
    </w:p>
    <w:p>
      <w:pPr>
        <w:pStyle w:val="BodyText"/>
        <w:keepLines/>
        <w:bidi w:val="0"/>
        <w:spacing w:before="600" w:after="150"/>
        <w:ind w:hanging="0" w:start="0" w:end="0"/>
        <w:rPr/>
      </w:pPr>
      <w:r>
        <w:rPr>
          <w:rStyle w:val="Strong"/>
        </w:rPr>
        <w:t>Meridian Systems Ltd.</w:t>
      </w:r>
    </w:p>
    <w:p>
      <w:pPr>
        <w:pStyle w:val="BodyText"/>
        <w:keepLines/>
        <w:bidi w:val="0"/>
        <w:spacing w:before="600" w:after="150"/>
        <w:ind w:hanging="0" w:start="0" w:end="0"/>
        <w:rPr/>
      </w:pPr>
      <w:r>
        <w:rPr/>
        <w:t xml:space="preserve">By: </w:t>
      </w:r>
    </w:p>
    <w:p>
      <w:pPr>
        <w:pStyle w:val="BodyTextsig-label"/>
        <w:keepLines/>
        <w:bidi w:val="0"/>
        <w:spacing w:before="600" w:after="150"/>
        <w:rPr/>
      </w:pPr>
      <w:r>
        <w:rPr/>
        <w:t>Name: Jordan Alvarez</w:t>
      </w:r>
    </w:p>
    <w:p>
      <w:pPr>
        <w:pStyle w:val="BodyTextsig-label"/>
        <w:keepLines/>
        <w:bidi w:val="0"/>
        <w:spacing w:before="600" w:after="150"/>
        <w:rPr/>
      </w:pPr>
      <w:r>
        <w:rPr/>
        <w:t>Title: Chief People Officer</w:t>
      </w:r>
    </w:p>
    <w:p>
      <w:pPr>
        <w:pStyle w:val="BodyTextsig-label"/>
        <w:keepLines/>
        <w:bidi w:val="0"/>
        <w:spacing w:before="600" w:after="150"/>
        <w:ind w:hanging="0" w:start="0" w:end="0"/>
        <w:rPr/>
      </w:pPr>
      <w:r>
        <w:rPr/>
        <w:t xml:space="preserve">Date: </w:t>
      </w:r>
    </w:p>
    <w:p>
      <w:pPr>
        <w:pStyle w:val="BodyText"/>
        <w:keepLines/>
        <w:bidi w:val="0"/>
        <w:spacing w:before="600" w:after="150"/>
        <w:rPr/>
      </w:pPr>
      <w:r>
        <w:rPr/>
      </w:r>
    </w:p>
    <w:p>
      <w:pPr>
        <w:pStyle w:val="BodyText"/>
        <w:keepLines/>
        <w:bidi w:val="0"/>
        <w:spacing w:before="600" w:after="150"/>
        <w:rPr/>
      </w:pPr>
      <w:r>
        <w:rPr>
          <w:rStyle w:val="Strong"/>
        </w:rPr>
        <w:t>Employee</w:t>
      </w:r>
    </w:p>
    <w:p>
      <w:pPr>
        <w:pStyle w:val="BodyText"/>
        <w:keepLines/>
        <w:bidi w:val="0"/>
        <w:spacing w:before="600" w:after="150"/>
        <w:ind w:hanging="0" w:start="0" w:end="0"/>
        <w:rPr/>
      </w:pPr>
      <w:r>
        <w:rPr/>
        <w:t xml:space="preserve">By: </w:t>
      </w:r>
    </w:p>
    <w:p>
      <w:pPr>
        <w:pStyle w:val="BodyTextsig-label"/>
        <w:keepLines/>
        <w:bidi w:val="0"/>
        <w:spacing w:before="600" w:after="150"/>
        <w:ind w:hanging="0" w:start="0" w:end="0"/>
        <w:rPr/>
      </w:pPr>
      <w:r>
        <w:rPr/>
        <w:t xml:space="preserve">Name: </w:t>
      </w:r>
    </w:p>
    <w:p>
      <w:pPr>
        <w:pStyle w:val="BodyTextsig-label"/>
        <w:keepLines/>
        <w:bidi w:val="0"/>
        <w:spacing w:before="600" w:after="150"/>
        <w:ind w:hanging="0" w:start="0" w:end="0"/>
        <w:rPr/>
      </w:pPr>
      <w:r>
        <w:rPr/>
        <w:t xml:space="preserve">Date: </w:t>
      </w:r>
    </w:p>
    <w:p>
      <w:pPr>
        <w:pStyle w:val="Heading2"/>
        <w:bidi w:val="0"/>
        <w:ind w:hanging="0" w:start="0" w:end="0"/>
        <w:jc w:val="start"/>
        <w:rPr/>
      </w:pPr>
      <w:r>
        <w:rPr/>
        <w:t>Appendix A — Payroll and Benefits Summary</w:t>
      </w:r>
    </w:p>
    <w:p>
      <w:pPr>
        <w:pStyle w:val="BodyText"/>
        <w:numPr>
          <w:ilvl w:val="0"/>
          <w:numId w:val="1"/>
        </w:numPr>
        <w:tabs>
          <w:tab w:val="clear" w:pos="1134"/>
          <w:tab w:val="left" w:pos="709" w:leader="none"/>
        </w:tabs>
        <w:bidi w:val="0"/>
        <w:spacing w:before="0" w:after="0"/>
        <w:ind w:hanging="283" w:start="709"/>
        <w:rPr/>
      </w:pPr>
      <w:r>
        <w:rPr>
          <w:rStyle w:val="Strong"/>
        </w:rPr>
        <w:t>A.1 Payroll calendar:</w:t>
      </w:r>
      <w:r>
        <w:rPr/>
        <w:t xml:space="preserve"> semi-monthly, 26 pay periods, direct deposit on the 15th and last business day of each month. </w:t>
      </w:r>
    </w:p>
    <w:p>
      <w:pPr>
        <w:pStyle w:val="BodyText"/>
        <w:numPr>
          <w:ilvl w:val="0"/>
          <w:numId w:val="1"/>
        </w:numPr>
        <w:tabs>
          <w:tab w:val="clear" w:pos="1134"/>
          <w:tab w:val="left" w:pos="709" w:leader="none"/>
        </w:tabs>
        <w:bidi w:val="0"/>
        <w:spacing w:before="0" w:after="0"/>
        <w:ind w:hanging="283" w:start="709"/>
        <w:rPr/>
      </w:pPr>
      <w:r>
        <w:rPr>
          <w:rStyle w:val="Strong"/>
        </w:rPr>
        <w:t>A.2 Base salary for the role:</w:t>
      </w:r>
      <w:r>
        <w:rPr/>
        <w:t xml:space="preserve"> $62,000.00 per annum, reviewed annually. </w:t>
      </w:r>
    </w:p>
    <w:p>
      <w:pPr>
        <w:pStyle w:val="BodyText"/>
        <w:numPr>
          <w:ilvl w:val="0"/>
          <w:numId w:val="1"/>
        </w:numPr>
        <w:tabs>
          <w:tab w:val="clear" w:pos="1134"/>
          <w:tab w:val="left" w:pos="709" w:leader="none"/>
        </w:tabs>
        <w:bidi w:val="0"/>
        <w:spacing w:before="0" w:after="0"/>
        <w:ind w:hanging="283" w:start="709"/>
        <w:rPr/>
      </w:pPr>
      <w:r>
        <w:rPr>
          <w:rStyle w:val="Strong"/>
        </w:rPr>
        <w:t>A.3 Bonus target:</w:t>
      </w:r>
      <w:r>
        <w:rPr/>
        <w:t xml:space="preserve"> 10% of base salary, prorated for partial-year participation. </w:t>
      </w:r>
    </w:p>
    <w:p>
      <w:pPr>
        <w:pStyle w:val="BodyText"/>
        <w:numPr>
          <w:ilvl w:val="0"/>
          <w:numId w:val="1"/>
        </w:numPr>
        <w:tabs>
          <w:tab w:val="clear" w:pos="1134"/>
          <w:tab w:val="left" w:pos="709" w:leader="none"/>
        </w:tabs>
        <w:bidi w:val="0"/>
        <w:spacing w:before="0" w:after="0"/>
        <w:ind w:hanging="283" w:start="709"/>
        <w:rPr/>
      </w:pPr>
      <w:r>
        <w:rPr>
          <w:rStyle w:val="Strong"/>
        </w:rPr>
        <w:t>A.4 PTO accrual:</w:t>
      </w:r>
      <w:r>
        <w:rPr/>
        <w:t xml:space="preserve"> 20 days in year one, 25 days in year two, 30 days thereafter. </w:t>
      </w:r>
    </w:p>
    <w:p>
      <w:pPr>
        <w:pStyle w:val="BodyText"/>
        <w:numPr>
          <w:ilvl w:val="0"/>
          <w:numId w:val="1"/>
        </w:numPr>
        <w:tabs>
          <w:tab w:val="clear" w:pos="1134"/>
          <w:tab w:val="left" w:pos="709" w:leader="none"/>
        </w:tabs>
        <w:bidi w:val="0"/>
        <w:spacing w:before="0" w:after="0"/>
        <w:ind w:hanging="283" w:start="709"/>
        <w:rPr/>
      </w:pPr>
      <w:r>
        <w:rPr>
          <w:rStyle w:val="Strong"/>
        </w:rPr>
        <w:t>A.5 Health insurance:</w:t>
      </w:r>
      <w:r>
        <w:rPr/>
        <w:t xml:space="preserve"> medical, dental, and vision with a 75% employer contribution for single coverage. </w:t>
      </w:r>
    </w:p>
    <w:p>
      <w:pPr>
        <w:pStyle w:val="BodyText"/>
        <w:numPr>
          <w:ilvl w:val="0"/>
          <w:numId w:val="1"/>
        </w:numPr>
        <w:tabs>
          <w:tab w:val="clear" w:pos="1134"/>
          <w:tab w:val="left" w:pos="709" w:leader="none"/>
        </w:tabs>
        <w:bidi w:val="0"/>
        <w:spacing w:before="0" w:after="0"/>
        <w:ind w:hanging="283" w:start="709"/>
        <w:rPr/>
      </w:pPr>
      <w:r>
        <w:rPr>
          <w:rStyle w:val="Strong"/>
        </w:rPr>
        <w:t>A.6 401(k):</w:t>
      </w:r>
      <w:r>
        <w:rPr/>
        <w:t xml:space="preserve"> employer match of 4% on the first 5% of compensation deferred. </w:t>
      </w:r>
    </w:p>
    <w:p>
      <w:pPr>
        <w:pStyle w:val="BodyText"/>
        <w:numPr>
          <w:ilvl w:val="0"/>
          <w:numId w:val="1"/>
        </w:numPr>
        <w:tabs>
          <w:tab w:val="clear" w:pos="1134"/>
          <w:tab w:val="left" w:pos="709" w:leader="none"/>
        </w:tabs>
        <w:bidi w:val="0"/>
        <w:spacing w:before="0" w:after="0"/>
        <w:ind w:hanging="283" w:start="709"/>
        <w:rPr/>
      </w:pPr>
      <w:r>
        <w:rPr>
          <w:rStyle w:val="Strong"/>
        </w:rPr>
        <w:t>A.7 Relocation:</w:t>
      </w:r>
      <w:r>
        <w:rPr/>
        <w:t xml:space="preserve"> one-time relocation stipend of $3,000, subject to a 12-month retention schedule. </w:t>
      </w:r>
    </w:p>
    <w:p>
      <w:pPr>
        <w:pStyle w:val="BodyText"/>
        <w:numPr>
          <w:ilvl w:val="0"/>
          <w:numId w:val="1"/>
        </w:numPr>
        <w:tabs>
          <w:tab w:val="clear" w:pos="1134"/>
          <w:tab w:val="left" w:pos="709" w:leader="none"/>
        </w:tabs>
        <w:bidi w:val="0"/>
        <w:ind w:hanging="283" w:start="709"/>
        <w:rPr/>
      </w:pPr>
      <w:r>
        <w:rPr>
          <w:rStyle w:val="Strong"/>
        </w:rPr>
        <w:t>A.8 Stock:</w:t>
      </w:r>
      <w:r>
        <w:rPr/>
        <w:t xml:space="preserve"> 12,000 restricted stock units vesting over four years with a one-year cliff. </w:t>
      </w:r>
    </w:p>
    <w:p>
      <w:pPr>
        <w:pStyle w:val="Heading2"/>
        <w:bidi w:val="0"/>
        <w:jc w:val="start"/>
        <w:rPr/>
      </w:pPr>
      <w:r>
        <w:rPr/>
        <w:t>Appendix B — Equipment and Access</w:t>
      </w:r>
    </w:p>
    <w:p>
      <w:pPr>
        <w:pStyle w:val="BodyText"/>
        <w:numPr>
          <w:ilvl w:val="0"/>
          <w:numId w:val="2"/>
        </w:numPr>
        <w:tabs>
          <w:tab w:val="clear" w:pos="1134"/>
          <w:tab w:val="left" w:pos="709" w:leader="none"/>
        </w:tabs>
        <w:bidi w:val="0"/>
        <w:spacing w:before="0" w:after="0"/>
        <w:ind w:hanging="283" w:start="709"/>
        <w:rPr/>
      </w:pPr>
      <w:r>
        <w:rPr>
          <w:rStyle w:val="Strong"/>
        </w:rPr>
        <w:t>B.1</w:t>
      </w:r>
      <w:r>
        <w:rPr/>
        <w:t xml:space="preserve"> The Company provides a laptop, monitor, and headset at onboarding and collects them at offboarding. </w:t>
      </w:r>
    </w:p>
    <w:p>
      <w:pPr>
        <w:pStyle w:val="BodyText"/>
        <w:numPr>
          <w:ilvl w:val="0"/>
          <w:numId w:val="2"/>
        </w:numPr>
        <w:tabs>
          <w:tab w:val="clear" w:pos="1134"/>
          <w:tab w:val="left" w:pos="709" w:leader="none"/>
        </w:tabs>
        <w:bidi w:val="0"/>
        <w:spacing w:before="0" w:after="0"/>
        <w:ind w:hanging="283" w:start="709"/>
        <w:rPr/>
      </w:pPr>
      <w:r>
        <w:rPr>
          <w:rStyle w:val="Strong"/>
        </w:rPr>
        <w:t>B.2</w:t>
      </w:r>
      <w:r>
        <w:rPr/>
        <w:t xml:space="preserve"> Access to production systems is provisioned through the standard access-request workflow and is revoked at the end of the offboarding day. </w:t>
      </w:r>
    </w:p>
    <w:p>
      <w:pPr>
        <w:pStyle w:val="BodyText"/>
        <w:numPr>
          <w:ilvl w:val="0"/>
          <w:numId w:val="2"/>
        </w:numPr>
        <w:tabs>
          <w:tab w:val="clear" w:pos="1134"/>
          <w:tab w:val="left" w:pos="709" w:leader="none"/>
        </w:tabs>
        <w:bidi w:val="0"/>
        <w:ind w:hanging="283" w:start="709"/>
        <w:rPr/>
      </w:pPr>
      <w:r>
        <w:rPr>
          <w:rStyle w:val="Strong"/>
        </w:rPr>
        <w:t>B.3</w:t>
      </w:r>
      <w:r>
        <w:rPr/>
        <w:t xml:space="preserve"> Employees must complete the annual security and acceptable-use training within 30 days of onboarding and again each anniversary. </w:t>
      </w:r>
    </w:p>
    <w:p>
      <w:pPr>
        <w:pStyle w:val="Heading2"/>
        <w:bidi w:val="0"/>
        <w:jc w:val="start"/>
        <w:rPr/>
      </w:pPr>
      <w:r>
        <w:rPr/>
        <w:t>Appendix C — Onboarding Checklist</w:t>
      </w:r>
    </w:p>
    <w:p>
      <w:pPr>
        <w:pStyle w:val="BodyText"/>
        <w:numPr>
          <w:ilvl w:val="0"/>
          <w:numId w:val="3"/>
        </w:numPr>
        <w:tabs>
          <w:tab w:val="clear" w:pos="1134"/>
          <w:tab w:val="left" w:pos="709" w:leader="none"/>
        </w:tabs>
        <w:bidi w:val="0"/>
        <w:spacing w:before="0" w:after="0"/>
        <w:ind w:hanging="283" w:start="709"/>
        <w:rPr/>
      </w:pPr>
      <w:r>
        <w:rPr>
          <w:rStyle w:val="Strong"/>
        </w:rPr>
        <w:t>C.1 Day 1:</w:t>
      </w:r>
      <w:r>
        <w:rPr/>
        <w:t xml:space="preserve"> identity verification, badge issuance, payroll setup, and direct-deposit confirmation. </w:t>
      </w:r>
    </w:p>
    <w:p>
      <w:pPr>
        <w:pStyle w:val="BodyText"/>
        <w:numPr>
          <w:ilvl w:val="0"/>
          <w:numId w:val="3"/>
        </w:numPr>
        <w:tabs>
          <w:tab w:val="clear" w:pos="1134"/>
          <w:tab w:val="left" w:pos="709" w:leader="none"/>
        </w:tabs>
        <w:bidi w:val="0"/>
        <w:spacing w:before="0" w:after="0"/>
        <w:ind w:hanging="283" w:start="709"/>
        <w:rPr/>
      </w:pPr>
      <w:r>
        <w:rPr>
          <w:rStyle w:val="Strong"/>
        </w:rPr>
        <w:t>C.2 Week 1:</w:t>
      </w:r>
      <w:r>
        <w:rPr/>
        <w:t xml:space="preserve"> security training, benefits enrollment window, and introduction to the engineering on-call rotation. </w:t>
      </w:r>
    </w:p>
    <w:p>
      <w:pPr>
        <w:pStyle w:val="BodyText"/>
        <w:numPr>
          <w:ilvl w:val="0"/>
          <w:numId w:val="3"/>
        </w:numPr>
        <w:tabs>
          <w:tab w:val="clear" w:pos="1134"/>
          <w:tab w:val="left" w:pos="709" w:leader="none"/>
        </w:tabs>
        <w:bidi w:val="0"/>
        <w:ind w:hanging="283" w:start="709"/>
        <w:rPr/>
      </w:pPr>
      <w:r>
        <w:rPr>
          <w:rStyle w:val="Strong"/>
        </w:rPr>
        <w:t>C.3 Month 1:</w:t>
      </w:r>
      <w:r>
        <w:rPr/>
        <w:t xml:space="preserve"> 30-day check-in with the manager and a written goals document aligned to the quarterly plan. </w:t>
      </w:r>
    </w:p>
    <w:p>
      <w:pPr>
        <w:pStyle w:val="Heading2"/>
        <w:bidi w:val="0"/>
        <w:spacing w:before="750" w:after="150"/>
        <w:ind w:hanging="0" w:start="0" w:end="0"/>
        <w:jc w:val="start"/>
        <w:rPr>
          <w:sz w:val="20"/>
          <w:bdr w:val="single" w:sz="12" w:space="8" w:color="000000"/>
        </w:rPr>
      </w:pPr>
      <w:r>
        <w:rPr>
          <w:sz w:val="20"/>
          <w:bdr w:val="single" w:sz="12" w:space="8" w:color="000000"/>
        </w:rPr>
        <w:t>Appendix D — Legal and Licensing Notice</w:t>
      </w:r>
    </w:p>
    <w:p>
      <w:pPr>
        <w:pStyle w:val="BodyText"/>
        <w:bidi w:val="0"/>
        <w:spacing w:before="750" w:after="150"/>
        <w:jc w:val="start"/>
        <w:rPr/>
      </w:pPr>
      <w:r>
        <w:rPr>
          <w:rStyle w:val="Strong"/>
          <w:sz w:val="20"/>
          <w:bdr w:val="single" w:sz="12" w:space="8" w:color="000000"/>
        </w:rPr>
        <w:t>D.1</w:t>
      </w:r>
      <w:r>
        <w:rPr>
          <w:sz w:val="20"/>
          <w:bdr w:val="single" w:sz="12" w:space="8" w:color="000000"/>
        </w:rPr>
        <w:t xml:space="preserve"> This document is the internal master version of the Meridian Systems Ltd. employment contract used for offer preparation. It is marked DO-NOT-MODIFY: local copies must not be altered, converted, annotated, or re-saved under any new filename; any change to clause text, figures, or notices must be made only in the controlled master repository by the Legal team.</w:t>
      </w:r>
    </w:p>
    <w:p>
      <w:pPr>
        <w:pStyle w:val="BodyText"/>
        <w:bidi w:val="0"/>
        <w:spacing w:before="750" w:after="150"/>
        <w:jc w:val="start"/>
        <w:rPr/>
      </w:pPr>
      <w:r>
        <w:rPr>
          <w:rStyle w:val="Strong"/>
          <w:sz w:val="20"/>
          <w:bdr w:val="single" w:sz="12" w:space="8" w:color="000000"/>
        </w:rPr>
        <w:t>D.2</w:t>
      </w:r>
      <w:r>
        <w:rPr>
          <w:sz w:val="20"/>
          <w:bdr w:val="single" w:sz="12" w:space="8" w:color="000000"/>
        </w:rPr>
        <w:t xml:space="preserve"> © 2026 Meridian Systems Ltd. Internal use only — reproduction, redistribution, or modification outside Legal is prohibited.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Times;serif" w:hAnsi="Times New Roman;Times;serif" w:eastAsia="Times New Roman;Times;serif" w:cs="Times New Roman;Times;serif"/>
      <w:color w:val="000000"/>
      <w:sz w:val="22"/>
      <w:szCs w:val="22"/>
      <w:lang w:val="en-US" w:eastAsia="zh-CN" w:bidi="hi-IN"/>
    </w:rPr>
  </w:style>
  <w:style w:type="paragraph" w:styleId="Heading1">
    <w:name w:val="Heading 1"/>
    <w:basedOn w:val="Heading"/>
    <w:next w:val="BodyText"/>
    <w:qFormat/>
    <w:pPr>
      <w:spacing w:before="240" w:after="300"/>
      <w:jc w:val="center"/>
    </w:pPr>
    <w:rPr>
      <w:rFonts w:ascii="Noto Sans" w:hAnsi="Noto Sans"/>
      <w:b/>
      <w:bCs/>
      <w:caps/>
      <w:sz w:val="32"/>
      <w:szCs w:val="32"/>
    </w:rPr>
  </w:style>
  <w:style w:type="paragraph" w:styleId="Heading2">
    <w:name w:val="Heading 2"/>
    <w:basedOn w:val="Heading"/>
    <w:next w:val="BodyText"/>
    <w:qFormat/>
    <w:pPr>
      <w:pBdr>
        <w:bottom w:val="single" w:sz="2" w:space="4" w:color="000000"/>
      </w:pBdr>
      <w:spacing w:before="300" w:after="150"/>
      <w:outlineLvl w:val="1"/>
    </w:pPr>
    <w:rPr>
      <w:rFonts w:ascii="Liberation Serif" w:hAnsi="Liberation Serif" w:eastAsia="Noto Serif CJK SC" w:cs="Noto Sans Devanagari"/>
      <w:b/>
      <w:bCs/>
      <w:caps/>
      <w:sz w:val="24"/>
      <w:szCs w:val="24"/>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ig-label">
    <w:name w:val="Body Text.sig-label"/>
    <w:basedOn w:val="BodyText"/>
    <w:qFormat/>
    <w:pPr/>
    <w:rPr>
      <w:color w:val="333333"/>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Employment Agreement - Meridian Systems Ltd.</dc:title>
</cp:coreProperties>
</file>

<file path=docProps/custom.xml><?xml version="1.0" encoding="utf-8"?>
<Properties xmlns="http://schemas.openxmlformats.org/officeDocument/2006/custom-properties" xmlns:vt="http://schemas.openxmlformats.org/officeDocument/2006/docPropsVTypes"/>
</file>