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00"/>
        <w:rPr/>
      </w:pPr>
      <w:r>
        <w:rPr/>
        <w:t>Residential Lease Agreement</w:t>
      </w:r>
    </w:p>
    <w:p>
      <w:pPr>
        <w:pStyle w:val="BodyText"/>
        <w:bidi w:val="0"/>
        <w:rPr/>
      </w:pPr>
      <w:r>
        <w:rPr>
          <w:rStyle w:val="Strong"/>
        </w:rPr>
        <w:t>Internal Draft Status:</w:t>
      </w:r>
      <w:r>
        <w:rPr/>
        <w:t xml:space="preserve"> This document is a working draft for internal review by Northgate Residential Properties LLC. It is not yet finalized for tenant execution.</w:t>
      </w:r>
    </w:p>
    <w:p>
      <w:pPr>
        <w:pStyle w:val="BodyText"/>
        <w:bidi w:val="0"/>
        <w:rPr/>
      </w:pPr>
      <w:r>
        <w:rPr/>
        <w:t xml:space="preserve">This Residential Lease Agreement ("Agreement") is made and entered into by and between </w:t>
      </w:r>
      <w:r>
        <w:rPr>
          <w:rStyle w:val="Strong"/>
        </w:rPr>
        <w:t>Northgate Residential Properties LLC</w:t>
      </w:r>
      <w:r>
        <w:rPr/>
        <w:t xml:space="preserve"> ("Landlord") and the tenant named on the signature page ("Tenant").</w:t>
      </w:r>
    </w:p>
    <w:p>
      <w:pPr>
        <w:pStyle w:val="Heading2"/>
        <w:bidi w:val="0"/>
        <w:jc w:val="start"/>
        <w:rPr/>
      </w:pPr>
      <w:r>
        <w:rPr/>
        <w:t>1. Premises</w:t>
      </w:r>
    </w:p>
    <w:p>
      <w:pPr>
        <w:pStyle w:val="BodyText"/>
        <w:bidi w:val="0"/>
        <w:rPr/>
      </w:pPr>
      <w:r>
        <w:rPr/>
        <w:t xml:space="preserve">Landlord leases to Tenant the residential unit located at </w:t>
      </w:r>
      <w:r>
        <w:rPr>
          <w:rStyle w:val="Strong"/>
        </w:rPr>
        <w:t>412 Alder Court, Unit 7, Portland, Oregon</w:t>
      </w:r>
      <w:r>
        <w:rPr/>
        <w:t xml:space="preserve"> (the "Premises"). The Premises include the interior living spaces, the assigned parking space, and the balcony as described in the attached appendices.</w:t>
      </w:r>
    </w:p>
    <w:p>
      <w:pPr>
        <w:pStyle w:val="Heading2"/>
        <w:bidi w:val="0"/>
        <w:jc w:val="start"/>
        <w:rPr/>
      </w:pPr>
      <w:r>
        <w:rPr/>
        <w:t>2. Term</w:t>
      </w:r>
    </w:p>
    <w:p>
      <w:pPr>
        <w:pStyle w:val="BodyText"/>
        <w:bidi w:val="0"/>
        <w:rPr/>
      </w:pPr>
      <w:r>
        <w:rPr/>
        <w:t xml:space="preserve">The initial term of this Agreement is twelve (12) months, beginning </w:t>
      </w:r>
      <w:r>
        <w:rPr>
          <w:rStyle w:val="Strong"/>
        </w:rPr>
        <w:t>June 1, 2026</w:t>
      </w:r>
      <w:r>
        <w:rPr/>
        <w:t xml:space="preserve"> and ending </w:t>
      </w:r>
      <w:r>
        <w:rPr>
          <w:rStyle w:val="Strong"/>
        </w:rPr>
        <w:t>May 31, 2027</w:t>
      </w:r>
      <w:r>
        <w:rPr/>
        <w:t>, unless earlier terminated in accordance with this Agreement. Upon expiration of the initial term, this Agreement may be renewed on a month-to-month basis subject to the terms of Appendix C.</w:t>
      </w:r>
    </w:p>
    <w:p>
      <w:pPr>
        <w:pStyle w:val="Heading2"/>
        <w:bidi w:val="0"/>
        <w:jc w:val="start"/>
        <w:rPr/>
      </w:pPr>
      <w:r>
        <w:rPr/>
        <w:t>3. Rent</w:t>
      </w:r>
    </w:p>
    <w:p>
      <w:pPr>
        <w:pStyle w:val="BodyText"/>
        <w:bidi w:val="0"/>
        <w:rPr/>
      </w:pPr>
      <w:r>
        <w:rPr/>
        <w:t xml:space="preserve">Tenant shall pay rent in the amount of </w:t>
      </w:r>
      <w:r>
        <w:rPr>
          <w:rStyle w:val="Strong"/>
        </w:rPr>
        <w:t>$1500</w:t>
      </w:r>
      <w:r>
        <w:rPr/>
        <w:t xml:space="preserve"> per month. Rent is due on the first day of each calendar month. A late fee of </w:t>
      </w:r>
      <w:r>
        <w:rPr>
          <w:rStyle w:val="Strong"/>
        </w:rPr>
        <w:t>$75</w:t>
      </w:r>
      <w:r>
        <w:rPr/>
        <w:t xml:space="preserve"> applies to rent not received within five days of the due date. Rent may be paid via check, money order, or electronic transfer to the account designated by Landlord.</w:t>
      </w:r>
    </w:p>
    <w:p>
      <w:pPr>
        <w:pStyle w:val="Heading2"/>
        <w:bidi w:val="0"/>
        <w:jc w:val="start"/>
        <w:rPr/>
      </w:pPr>
      <w:r>
        <w:rPr/>
        <w:t>4. Security Deposit</w:t>
      </w:r>
    </w:p>
    <w:p>
      <w:pPr>
        <w:pStyle w:val="BodyText"/>
        <w:bidi w:val="0"/>
        <w:rPr/>
      </w:pPr>
      <w:r>
        <w:rPr/>
        <w:t xml:space="preserve">Upon execution of this Agreement Tenant shall deposit with Landlord the sum of </w:t>
      </w:r>
      <w:r>
        <w:rPr>
          <w:rStyle w:val="Strong"/>
        </w:rPr>
        <w:t>$1500</w:t>
      </w:r>
      <w:r>
        <w:rPr/>
        <w:t xml:space="preserve"> as a security deposit, which shall be held in accordance with Oregon law. The security deposit is intended to cover any unpaid rent, damages beyond normal wear and tear, or other obligations owed by Tenant to Landlord.</w:t>
      </w:r>
    </w:p>
    <w:p>
      <w:pPr>
        <w:pStyle w:val="Heading2"/>
        <w:bidi w:val="0"/>
        <w:jc w:val="start"/>
        <w:rPr/>
      </w:pPr>
      <w:r>
        <w:rPr/>
        <w:t>5. Utilities</w:t>
      </w:r>
    </w:p>
    <w:p>
      <w:pPr>
        <w:pStyle w:val="BodyText"/>
        <w:bidi w:val="0"/>
        <w:rPr/>
      </w:pPr>
      <w:r>
        <w:rPr/>
        <w:t>Tenant is responsible for electricity, gas, and internet service at the Premises. Landlord is responsible for water, sewer, and garbage collection. Tenant must ensure that all utility accounts in their name are active prior to the move-in date.</w:t>
      </w:r>
    </w:p>
    <w:p>
      <w:pPr>
        <w:pStyle w:val="Heading2"/>
        <w:bidi w:val="0"/>
        <w:jc w:val="start"/>
        <w:rPr/>
      </w:pPr>
      <w:r>
        <w:rPr/>
        <w:t>6. Maintenance and Repairs</w:t>
      </w:r>
    </w:p>
    <w:p>
      <w:pPr>
        <w:pStyle w:val="BodyText"/>
        <w:bidi w:val="0"/>
        <w:rPr/>
      </w:pPr>
      <w:r>
        <w:rPr/>
        <w:t>Landlord shall maintain the structural components of the Premises in good condition. Tenant shall promptly notify Landlord of any damage or needed repairs and shall be responsible for damage caused by Tenant's negligence. Routine maintenance requests should be submitted in writing as outlined in Appendix F.</w:t>
      </w:r>
    </w:p>
    <w:p>
      <w:pPr>
        <w:pStyle w:val="Heading2"/>
        <w:bidi w:val="0"/>
        <w:jc w:val="start"/>
        <w:rPr/>
      </w:pPr>
      <w:r>
        <w:rPr/>
        <w:t>7. Insurance</w:t>
      </w:r>
    </w:p>
    <w:p>
      <w:pPr>
        <w:pStyle w:val="BodyText"/>
        <w:bidi w:val="0"/>
        <w:rPr/>
      </w:pPr>
      <w:r>
        <w:rPr/>
        <w:t>Tenant is encouraged to maintain renter's insurance covering Tenant's personal property and liability. Landlord is not responsible for loss or damage to Tenant's personal property. Proof of insurance may be requested by Landlord at any time during the term.</w:t>
      </w:r>
    </w:p>
    <w:p>
      <w:pPr>
        <w:pStyle w:val="Heading2"/>
        <w:bidi w:val="0"/>
        <w:jc w:val="start"/>
        <w:rPr/>
      </w:pPr>
      <w:r>
        <w:rPr/>
        <w:t>8. Right of Entry</w:t>
      </w:r>
    </w:p>
    <w:p>
      <w:pPr>
        <w:pStyle w:val="BodyText"/>
        <w:bidi w:val="0"/>
        <w:rPr/>
      </w:pPr>
      <w:r>
        <w:rPr/>
        <w:t>Landlord may enter the Premises with 24 hours' notice, or immediately in the case of an emergency, to make repairs, show the Premises to prospective tenants or buyers, or inspect compliance with this Agreement. Entry will be conducted during reasonable business hours unless otherwise agreed.</w:t>
      </w:r>
    </w:p>
    <w:p>
      <w:pPr>
        <w:pStyle w:val="Heading2"/>
        <w:bidi w:val="0"/>
        <w:jc w:val="start"/>
        <w:rPr/>
      </w:pPr>
      <w:r>
        <w:rPr/>
        <w:t>9. Quiet Enjoyment</w:t>
      </w:r>
    </w:p>
    <w:p>
      <w:pPr>
        <w:pStyle w:val="BodyText"/>
        <w:bidi w:val="0"/>
        <w:rPr/>
      </w:pPr>
      <w:r>
        <w:rPr/>
        <w:t>Tenant shall have quiet enjoyment of the Premises so long as rent is paid and this Agreement is observed. Tenant agrees not to engage in any activity that would disturb the peace or quiet of other residents in the building.</w:t>
      </w:r>
    </w:p>
    <w:p>
      <w:pPr>
        <w:pStyle w:val="Heading2"/>
        <w:bidi w:val="0"/>
        <w:jc w:val="start"/>
        <w:rPr/>
      </w:pPr>
      <w:r>
        <w:rPr/>
        <w:t>10. Default</w:t>
      </w:r>
    </w:p>
    <w:p>
      <w:pPr>
        <w:pStyle w:val="BodyText"/>
        <w:bidi w:val="0"/>
        <w:rPr/>
      </w:pPr>
      <w:r>
        <w:rPr/>
        <w:t>If Tenant fails to pay rent within ten days of written notice, Landlord may pursue all remedies available under Oregon law, including termination of this Agreement and recovery of possession. Other breaches of this Agreement may also constitute default.</w:t>
      </w:r>
    </w:p>
    <w:p>
      <w:pPr>
        <w:pStyle w:val="Heading2"/>
        <w:bidi w:val="0"/>
        <w:jc w:val="start"/>
        <w:rPr/>
      </w:pPr>
      <w:r>
        <w:rPr/>
        <w:t>11. Governing Law</w:t>
      </w:r>
    </w:p>
    <w:p>
      <w:pPr>
        <w:pStyle w:val="BodyText"/>
        <w:bidi w:val="0"/>
        <w:rPr/>
      </w:pPr>
      <w:r>
        <w:rPr/>
        <w:t>This Agreement is governed by the laws of the State of Oregon. Any dispute arising under this Agreement shall be resolved in the courts of Multnomah County, Oregon.</w:t>
      </w:r>
    </w:p>
    <w:p>
      <w:pPr>
        <w:pStyle w:val="Heading2"/>
        <w:bidi w:val="0"/>
        <w:jc w:val="start"/>
        <w:rPr/>
      </w:pPr>
      <w:r>
        <w:rPr/>
        <w:t>12. Entire Agreement</w:t>
      </w:r>
    </w:p>
    <w:p>
      <w:pPr>
        <w:pStyle w:val="BodyText"/>
        <w:bidi w:val="0"/>
        <w:rPr/>
      </w:pPr>
      <w:r>
        <w:rPr/>
        <w:t>This Agreement, together with any exhibits attached hereto, constitutes the entire agreement between the parties and supersedes all prior negotiations and understandings, whether written or oral.</w:t>
      </w:r>
    </w:p>
    <w:p>
      <w:pPr>
        <w:pStyle w:val="Heading2"/>
        <w:bidi w:val="0"/>
        <w:jc w:val="start"/>
        <w:rPr/>
      </w:pPr>
      <w:r>
        <w:rPr/>
        <w:t>13. Amendments</w:t>
      </w:r>
    </w:p>
    <w:p>
      <w:pPr>
        <w:pStyle w:val="BodyText"/>
        <w:bidi w:val="0"/>
        <w:rPr/>
      </w:pPr>
      <w:r>
        <w:rPr/>
        <w:t>No amendment of this Agreement is effective unless made in writing and signed by both parties. Verbal agreements or informal modifications do not alter the terms of this Lease.</w:t>
      </w:r>
    </w:p>
    <w:p>
      <w:pPr>
        <w:pStyle w:val="Heading2"/>
        <w:bidi w:val="0"/>
        <w:jc w:val="start"/>
        <w:rPr/>
      </w:pPr>
      <w:r>
        <w:rPr/>
        <w:t>14. Notices</w:t>
      </w:r>
    </w:p>
    <w:p>
      <w:pPr>
        <w:pStyle w:val="BodyText"/>
        <w:bidi w:val="0"/>
        <w:rPr/>
      </w:pPr>
      <w:r>
        <w:rPr/>
        <w:t>All notices under this Agreement must be in writing and delivered to the addresses set forth above or to such other address as a party may designate in writing. Notice is deemed received upon delivery or three business days after mailing if sent by certified mail.</w:t>
      </w:r>
    </w:p>
    <w:p>
      <w:pPr>
        <w:pStyle w:val="Heading2"/>
        <w:bidi w:val="0"/>
        <w:jc w:val="start"/>
        <w:rPr/>
      </w:pPr>
      <w:r>
        <w:rPr/>
        <w:t>15. Severability</w:t>
      </w:r>
    </w:p>
    <w:p>
      <w:pPr>
        <w:pStyle w:val="BodyText"/>
        <w:bidi w:val="0"/>
        <w:rPr/>
      </w:pPr>
      <w:r>
        <w:rPr/>
        <w:t>If any provision of this Agreement is held unenforceable, the remaining provisions shall continue in full force and effect. The parties agree to replace any unenforceable provision with a valid provision that most closely reflects the original intent.</w:t>
      </w:r>
    </w:p>
    <w:p>
      <w:pPr>
        <w:pStyle w:val="Heading2"/>
        <w:bidi w:val="0"/>
        <w:jc w:val="start"/>
        <w:rPr/>
      </w:pPr>
      <w:r>
        <w:rPr/>
        <w:t>16. Counterparts</w:t>
      </w:r>
    </w:p>
    <w:p>
      <w:pPr>
        <w:pStyle w:val="BodyText"/>
        <w:bidi w:val="0"/>
        <w:rPr/>
      </w:pPr>
      <w:r>
        <w:rPr/>
        <w:t>This Agreement may be executed in counterparts, each of which shall be deemed an original and all of which together shall constitute one instrument. Electronic signatures are considered valid and binding for the purposes of this Agreement.</w:t>
      </w:r>
    </w:p>
    <w:p>
      <w:pPr>
        <w:pStyle w:val="Heading2"/>
        <w:keepLines/>
        <w:bidi w:val="0"/>
        <w:spacing w:before="450" w:after="150"/>
        <w:ind w:hanging="0" w:start="0" w:end="0"/>
        <w:jc w:val="start"/>
        <w:rPr/>
      </w:pPr>
      <w:r>
        <w:rPr/>
        <w:t>Signatures</w:t>
      </w:r>
    </w:p>
    <w:p>
      <w:pPr>
        <w:pStyle w:val="BodyText"/>
        <w:keepLines/>
        <w:bidi w:val="0"/>
        <w:spacing w:before="450" w:after="150"/>
        <w:rPr/>
      </w:pPr>
      <w:r>
        <w:rPr>
          <w:rStyle w:val="Strong"/>
        </w:rPr>
        <w:t>Landlord:</w:t>
      </w:r>
      <w:r>
        <w:rPr/>
        <w:t xml:space="preserve"> Northgate Residential Properties LLC</w:t>
      </w:r>
    </w:p>
    <w:p>
      <w:pPr>
        <w:pStyle w:val="BodyText"/>
        <w:keepLines/>
        <w:bidi w:val="0"/>
        <w:spacing w:before="450" w:after="150"/>
        <w:ind w:hanging="0" w:start="0" w:end="300"/>
        <w:rPr/>
      </w:pPr>
      <w:r>
        <w:rPr/>
        <w:t xml:space="preserve">By: </w:t>
      </w:r>
    </w:p>
    <w:p>
      <w:pPr>
        <w:pStyle w:val="BodyText"/>
        <w:keepLines/>
        <w:bidi w:val="0"/>
        <w:spacing w:before="450" w:after="150"/>
        <w:ind w:hanging="0" w:start="0" w:end="300"/>
        <w:rPr/>
      </w:pPr>
      <w:r>
        <w:rPr/>
        <w:t xml:space="preserve">Name: </w:t>
      </w:r>
    </w:p>
    <w:p>
      <w:pPr>
        <w:pStyle w:val="BodyText"/>
        <w:keepLines/>
        <w:bidi w:val="0"/>
        <w:spacing w:before="450" w:after="150"/>
        <w:rPr/>
      </w:pPr>
      <w:r>
        <w:rPr/>
        <w:t>Title: Property Manager</w:t>
      </w:r>
    </w:p>
    <w:p>
      <w:pPr>
        <w:pStyle w:val="BodyText"/>
        <w:keepLines/>
        <w:bidi w:val="0"/>
        <w:spacing w:before="450" w:after="150"/>
        <w:ind w:hanging="0" w:start="0" w:end="300"/>
        <w:rPr/>
      </w:pPr>
      <w:r>
        <w:rPr/>
        <w:t xml:space="preserve">Date: </w:t>
      </w:r>
    </w:p>
    <w:p>
      <w:pPr>
        <w:pStyle w:val="BodyText"/>
        <w:keepLines/>
        <w:bidi w:val="0"/>
        <w:spacing w:before="450" w:after="150"/>
        <w:rPr/>
      </w:pPr>
      <w:r>
        <w:rPr/>
      </w:r>
    </w:p>
    <w:p>
      <w:pPr>
        <w:pStyle w:val="BodyText"/>
        <w:keepLines/>
        <w:bidi w:val="0"/>
        <w:spacing w:before="450" w:after="150"/>
        <w:ind w:hanging="0" w:start="0" w:end="300"/>
        <w:rPr/>
      </w:pPr>
      <w:r>
        <w:rPr>
          <w:rStyle w:val="Strong"/>
        </w:rPr>
        <w:t>Tenant:</w:t>
      </w:r>
      <w:r>
        <w:rPr/>
        <w:t xml:space="preserve"> </w:t>
      </w:r>
    </w:p>
    <w:p>
      <w:pPr>
        <w:pStyle w:val="BodyText"/>
        <w:keepLines/>
        <w:bidi w:val="0"/>
        <w:spacing w:before="450" w:after="150"/>
        <w:ind w:hanging="0" w:start="0" w:end="300"/>
        <w:rPr/>
      </w:pPr>
      <w:r>
        <w:rPr/>
        <w:t xml:space="preserve">Date: </w:t>
      </w:r>
    </w:p>
    <w:p>
      <w:pPr>
        <w:pStyle w:val="Heading2"/>
        <w:bidi w:val="0"/>
        <w:ind w:hanging="0" w:start="0" w:end="0"/>
        <w:jc w:val="start"/>
        <w:rPr/>
      </w:pPr>
      <w:r>
        <w:rPr/>
        <w:t>Appendix A — Move-In Condition Report (excerpt)</w:t>
      </w:r>
    </w:p>
    <w:p>
      <w:pPr>
        <w:pStyle w:val="BodyText"/>
        <w:bidi w:val="0"/>
        <w:rPr/>
      </w:pPr>
      <w:r>
        <w:rPr>
          <w:rStyle w:val="Strong"/>
        </w:rPr>
        <w:t>Living room:</w:t>
      </w:r>
      <w:r>
        <w:rPr/>
        <w:t xml:space="preserve"> walls in good condition, one minor scuff near entry. </w:t>
      </w:r>
      <w:r>
        <w:rPr>
          <w:rStyle w:val="Strong"/>
        </w:rPr>
        <w:t>Kitchen:</w:t>
      </w:r>
      <w:r>
        <w:rPr/>
        <w:t xml:space="preserve"> appliances operational, countertops clean. </w:t>
      </w:r>
      <w:r>
        <w:rPr>
          <w:rStyle w:val="Strong"/>
        </w:rPr>
        <w:t>Bedroom:</w:t>
      </w:r>
      <w:r>
        <w:rPr/>
        <w:t xml:space="preserve"> carpet clean, closet door functioning. </w:t>
      </w:r>
      <w:r>
        <w:rPr>
          <w:rStyle w:val="Strong"/>
        </w:rPr>
        <w:t>Bathroom:</w:t>
      </w:r>
      <w:r>
        <w:rPr/>
        <w:t xml:space="preserve"> fixtures operational, no leaks observed.</w:t>
      </w:r>
    </w:p>
    <w:p>
      <w:pPr>
        <w:pStyle w:val="Heading2"/>
        <w:bidi w:val="0"/>
        <w:ind w:hanging="0" w:start="0" w:end="0"/>
        <w:jc w:val="start"/>
        <w:rPr/>
      </w:pPr>
      <w:r>
        <w:rPr/>
        <w:t>Appendix B — House Rules</w:t>
      </w:r>
    </w:p>
    <w:p>
      <w:pPr>
        <w:pStyle w:val="BodyText"/>
        <w:numPr>
          <w:ilvl w:val="0"/>
          <w:numId w:val="1"/>
        </w:numPr>
        <w:tabs>
          <w:tab w:val="clear" w:pos="1134"/>
          <w:tab w:val="left" w:pos="2149" w:leader="none"/>
        </w:tabs>
        <w:bidi w:val="0"/>
        <w:spacing w:before="0" w:after="0"/>
        <w:ind w:hanging="283" w:start="2149"/>
        <w:rPr/>
      </w:pPr>
      <w:r>
        <w:rPr/>
        <w:t xml:space="preserve">Quiet hours run from 10:00 p.m. to 7:00 a.m. </w:t>
      </w:r>
    </w:p>
    <w:p>
      <w:pPr>
        <w:pStyle w:val="BodyText"/>
        <w:numPr>
          <w:ilvl w:val="0"/>
          <w:numId w:val="1"/>
        </w:numPr>
        <w:tabs>
          <w:tab w:val="clear" w:pos="1134"/>
          <w:tab w:val="left" w:pos="2149" w:leader="none"/>
        </w:tabs>
        <w:bidi w:val="0"/>
        <w:spacing w:before="0" w:after="0"/>
        <w:ind w:hanging="283" w:start="2149"/>
        <w:rPr/>
      </w:pPr>
      <w:r>
        <w:rPr/>
        <w:t xml:space="preserve">No commercial activity may be conducted at the Premises. </w:t>
      </w:r>
    </w:p>
    <w:p>
      <w:pPr>
        <w:pStyle w:val="BodyText"/>
        <w:numPr>
          <w:ilvl w:val="0"/>
          <w:numId w:val="1"/>
        </w:numPr>
        <w:tabs>
          <w:tab w:val="clear" w:pos="1134"/>
          <w:tab w:val="left" w:pos="2149" w:leader="none"/>
        </w:tabs>
        <w:bidi w:val="0"/>
        <w:spacing w:before="0" w:after="0"/>
        <w:ind w:hanging="283" w:start="2149"/>
        <w:rPr/>
      </w:pPr>
      <w:r>
        <w:rPr/>
        <w:t xml:space="preserve">Pets require prior written approval and a $250 pet deposit. </w:t>
      </w:r>
    </w:p>
    <w:p>
      <w:pPr>
        <w:pStyle w:val="BodyText"/>
        <w:numPr>
          <w:ilvl w:val="0"/>
          <w:numId w:val="1"/>
        </w:numPr>
        <w:tabs>
          <w:tab w:val="clear" w:pos="1134"/>
          <w:tab w:val="left" w:pos="2149" w:leader="none"/>
        </w:tabs>
        <w:bidi w:val="0"/>
        <w:spacing w:before="0" w:after="0"/>
        <w:ind w:hanging="283" w:start="2149"/>
        <w:rPr/>
      </w:pPr>
      <w:r>
        <w:rPr/>
        <w:t xml:space="preserve">Parking is assigned to space 7 in the rear lot. </w:t>
      </w:r>
    </w:p>
    <w:p>
      <w:pPr>
        <w:pStyle w:val="BodyText"/>
        <w:numPr>
          <w:ilvl w:val="0"/>
          <w:numId w:val="1"/>
        </w:numPr>
        <w:tabs>
          <w:tab w:val="clear" w:pos="1134"/>
          <w:tab w:val="left" w:pos="2149" w:leader="none"/>
        </w:tabs>
        <w:bidi w:val="0"/>
        <w:ind w:hanging="283" w:start="2149"/>
        <w:rPr/>
      </w:pPr>
      <w:r>
        <w:rPr/>
        <w:t xml:space="preserve">Trash and recycling must be placed in the building receptacles on scheduled days. </w:t>
      </w:r>
    </w:p>
    <w:p>
      <w:pPr>
        <w:pStyle w:val="Heading2"/>
        <w:bidi w:val="0"/>
        <w:ind w:hanging="0" w:start="0" w:end="0"/>
        <w:jc w:val="start"/>
        <w:rPr/>
      </w:pPr>
      <w:r>
        <w:rPr/>
        <w:t>Appendix C — Renewal and Subletting</w:t>
      </w:r>
    </w:p>
    <w:p>
      <w:pPr>
        <w:pStyle w:val="BodyText"/>
        <w:bidi w:val="0"/>
        <w:rPr/>
      </w:pPr>
      <w:r>
        <w:rPr/>
        <w:t>Tenant may request a renewal in writing at least 60 days before the end of the term. Subletting requires Landlord's prior written consent. Renewal rent will be set at then-current market rates for comparable units.</w:t>
      </w:r>
    </w:p>
    <w:p>
      <w:pPr>
        <w:pStyle w:val="Heading2"/>
        <w:bidi w:val="0"/>
        <w:ind w:hanging="0" w:start="0" w:end="0"/>
        <w:jc w:val="start"/>
        <w:rPr/>
      </w:pPr>
      <w:r>
        <w:rPr/>
        <w:t>Appendix D — Fee Schedule</w:t>
      </w:r>
    </w:p>
    <w:tbl>
      <w:tblPr>
        <w:tblW w:w="9257" w:type="dxa"/>
        <w:jc w:val="start"/>
        <w:tblInd w:w="0" w:type="dxa"/>
        <w:tblLayout w:type="fixed"/>
        <w:tblCellMar>
          <w:top w:w="28" w:type="dxa"/>
          <w:start w:w="28" w:type="dxa"/>
          <w:bottom w:w="28" w:type="dxa"/>
          <w:end w:w="28" w:type="dxa"/>
        </w:tblCellMar>
      </w:tblPr>
      <w:tblGrid>
        <w:gridCol w:w="3571"/>
        <w:gridCol w:w="5686"/>
      </w:tblGrid>
      <w:tr>
        <w:trPr/>
        <w:tc>
          <w:tcPr>
            <w:tcW w:w="3571" w:type="dxa"/>
            <w:tcBorders/>
            <w:vAlign w:val="center"/>
          </w:tcPr>
          <w:p>
            <w:pPr>
              <w:pStyle w:val="TableHeading"/>
              <w:suppressLineNumbers/>
              <w:shd w:fill="F2F2F2" w:val="clear"/>
              <w:bidi w:val="0"/>
              <w:spacing w:before="0" w:after="150"/>
              <w:jc w:val="start"/>
              <w:rPr/>
            </w:pPr>
            <w:r>
              <w:rPr/>
              <w:t>Fee Type</w:t>
            </w:r>
          </w:p>
        </w:tc>
        <w:tc>
          <w:tcPr>
            <w:tcW w:w="5686" w:type="dxa"/>
            <w:tcBorders/>
            <w:vAlign w:val="center"/>
          </w:tcPr>
          <w:p>
            <w:pPr>
              <w:pStyle w:val="TableHeading"/>
              <w:suppressLineNumbers/>
              <w:shd w:fill="F2F2F2" w:val="clear"/>
              <w:bidi w:val="0"/>
              <w:spacing w:before="0" w:after="150"/>
              <w:jc w:val="start"/>
              <w:rPr/>
            </w:pPr>
            <w:r>
              <w:rPr/>
              <w:t>Amount</w:t>
            </w:r>
          </w:p>
        </w:tc>
      </w:tr>
      <w:tr>
        <w:trPr/>
        <w:tc>
          <w:tcPr>
            <w:tcW w:w="3571" w:type="dxa"/>
            <w:tcBorders/>
            <w:vAlign w:val="center"/>
          </w:tcPr>
          <w:p>
            <w:pPr>
              <w:pStyle w:val="TableContents"/>
              <w:bidi w:val="0"/>
              <w:spacing w:before="0" w:after="150"/>
              <w:jc w:val="start"/>
              <w:rPr/>
            </w:pPr>
            <w:r>
              <w:rPr/>
              <w:t>Late fee</w:t>
            </w:r>
          </w:p>
        </w:tc>
        <w:tc>
          <w:tcPr>
            <w:tcW w:w="5686" w:type="dxa"/>
            <w:tcBorders/>
            <w:vAlign w:val="center"/>
          </w:tcPr>
          <w:p>
            <w:pPr>
              <w:pStyle w:val="TableContents"/>
              <w:bidi w:val="0"/>
              <w:spacing w:before="0" w:after="150"/>
              <w:jc w:val="start"/>
              <w:rPr/>
            </w:pPr>
            <w:r>
              <w:rPr/>
              <w:t>$75</w:t>
            </w:r>
          </w:p>
        </w:tc>
      </w:tr>
      <w:tr>
        <w:trPr/>
        <w:tc>
          <w:tcPr>
            <w:tcW w:w="3571" w:type="dxa"/>
            <w:tcBorders/>
            <w:vAlign w:val="center"/>
          </w:tcPr>
          <w:p>
            <w:pPr>
              <w:pStyle w:val="TableContents"/>
              <w:bidi w:val="0"/>
              <w:spacing w:before="0" w:after="150"/>
              <w:jc w:val="start"/>
              <w:rPr/>
            </w:pPr>
            <w:r>
              <w:rPr/>
              <w:t>Returned check fee</w:t>
            </w:r>
          </w:p>
        </w:tc>
        <w:tc>
          <w:tcPr>
            <w:tcW w:w="5686" w:type="dxa"/>
            <w:tcBorders/>
            <w:vAlign w:val="center"/>
          </w:tcPr>
          <w:p>
            <w:pPr>
              <w:pStyle w:val="TableContents"/>
              <w:bidi w:val="0"/>
              <w:spacing w:before="0" w:after="150"/>
              <w:jc w:val="start"/>
              <w:rPr/>
            </w:pPr>
            <w:r>
              <w:rPr/>
              <w:t>$35</w:t>
            </w:r>
          </w:p>
        </w:tc>
      </w:tr>
      <w:tr>
        <w:trPr/>
        <w:tc>
          <w:tcPr>
            <w:tcW w:w="3571" w:type="dxa"/>
            <w:tcBorders/>
            <w:vAlign w:val="center"/>
          </w:tcPr>
          <w:p>
            <w:pPr>
              <w:pStyle w:val="TableContents"/>
              <w:bidi w:val="0"/>
              <w:spacing w:before="0" w:after="150"/>
              <w:jc w:val="start"/>
              <w:rPr/>
            </w:pPr>
            <w:r>
              <w:rPr/>
              <w:t>Pet deposit</w:t>
            </w:r>
          </w:p>
        </w:tc>
        <w:tc>
          <w:tcPr>
            <w:tcW w:w="5686" w:type="dxa"/>
            <w:tcBorders/>
            <w:vAlign w:val="center"/>
          </w:tcPr>
          <w:p>
            <w:pPr>
              <w:pStyle w:val="TableContents"/>
              <w:bidi w:val="0"/>
              <w:spacing w:before="0" w:after="150"/>
              <w:jc w:val="start"/>
              <w:rPr/>
            </w:pPr>
            <w:r>
              <w:rPr/>
              <w:t>$250</w:t>
            </w:r>
          </w:p>
        </w:tc>
      </w:tr>
      <w:tr>
        <w:trPr/>
        <w:tc>
          <w:tcPr>
            <w:tcW w:w="3571" w:type="dxa"/>
            <w:tcBorders/>
            <w:vAlign w:val="center"/>
          </w:tcPr>
          <w:p>
            <w:pPr>
              <w:pStyle w:val="TableContents"/>
              <w:bidi w:val="0"/>
              <w:spacing w:before="0" w:after="150"/>
              <w:jc w:val="start"/>
              <w:rPr/>
            </w:pPr>
            <w:r>
              <w:rPr/>
              <w:t>Key replacement</w:t>
            </w:r>
          </w:p>
        </w:tc>
        <w:tc>
          <w:tcPr>
            <w:tcW w:w="5686" w:type="dxa"/>
            <w:tcBorders/>
            <w:vAlign w:val="center"/>
          </w:tcPr>
          <w:p>
            <w:pPr>
              <w:pStyle w:val="TableContents"/>
              <w:bidi w:val="0"/>
              <w:spacing w:before="0" w:after="150"/>
              <w:jc w:val="start"/>
              <w:rPr/>
            </w:pPr>
            <w:r>
              <w:rPr/>
              <w:t>$40</w:t>
            </w:r>
          </w:p>
        </w:tc>
      </w:tr>
      <w:tr>
        <w:trPr/>
        <w:tc>
          <w:tcPr>
            <w:tcW w:w="3571" w:type="dxa"/>
            <w:tcBorders/>
            <w:vAlign w:val="center"/>
          </w:tcPr>
          <w:p>
            <w:pPr>
              <w:pStyle w:val="TableContents"/>
              <w:bidi w:val="0"/>
              <w:spacing w:before="0" w:after="150"/>
              <w:jc w:val="start"/>
              <w:rPr/>
            </w:pPr>
            <w:r>
              <w:rPr/>
              <w:t>Early termination fee</w:t>
            </w:r>
          </w:p>
        </w:tc>
        <w:tc>
          <w:tcPr>
            <w:tcW w:w="5686" w:type="dxa"/>
            <w:tcBorders/>
            <w:vAlign w:val="center"/>
          </w:tcPr>
          <w:p>
            <w:pPr>
              <w:pStyle w:val="TableContents"/>
              <w:bidi w:val="0"/>
              <w:spacing w:before="0" w:after="150"/>
              <w:jc w:val="start"/>
              <w:rPr/>
            </w:pPr>
            <w:r>
              <w:rPr/>
              <w:t>One month's rent, subject to applicable law</w:t>
            </w:r>
          </w:p>
        </w:tc>
      </w:tr>
    </w:tbl>
    <w:p>
      <w:pPr>
        <w:pStyle w:val="Heading2"/>
        <w:bidi w:val="0"/>
        <w:ind w:hanging="0" w:start="0" w:end="0"/>
        <w:jc w:val="start"/>
        <w:rPr/>
      </w:pPr>
      <w:r>
        <w:rPr/>
        <w:t>Appendix E — Landlord Contact Information</w:t>
      </w:r>
    </w:p>
    <w:p>
      <w:pPr>
        <w:pStyle w:val="BodyText"/>
        <w:bidi w:val="0"/>
        <w:rPr/>
      </w:pPr>
      <w:r>
        <w:rPr/>
        <w:t>Northgate Residential Properties LLC</w:t>
        <w:br/>
        <w:t>1800 Main Street, Suite 210</w:t>
        <w:br/>
        <w:t>Portland, OR 97205</w:t>
        <w:br/>
        <w:t>Office hours: Monday through Friday, 9:00 a.m. to 5:00 p.m.</w:t>
        <w:br/>
        <w:t>Maintenance requests may be submitted in writing to the office address above or to the building manager on site.</w:t>
      </w:r>
    </w:p>
    <w:p>
      <w:pPr>
        <w:pStyle w:val="Heading2"/>
        <w:bidi w:val="0"/>
        <w:ind w:hanging="0" w:start="0" w:end="0"/>
        <w:jc w:val="start"/>
        <w:rPr/>
      </w:pPr>
      <w:r>
        <w:rPr/>
        <w:t>Appendix F — Tenant Responsibilities Checklist</w:t>
      </w:r>
    </w:p>
    <w:p>
      <w:pPr>
        <w:pStyle w:val="BodyText"/>
        <w:numPr>
          <w:ilvl w:val="0"/>
          <w:numId w:val="2"/>
        </w:numPr>
        <w:tabs>
          <w:tab w:val="clear" w:pos="1134"/>
          <w:tab w:val="left" w:pos="2149" w:leader="none"/>
        </w:tabs>
        <w:bidi w:val="0"/>
        <w:spacing w:before="0" w:after="0"/>
        <w:ind w:hanging="283" w:start="2149"/>
        <w:rPr/>
      </w:pPr>
      <w:r>
        <w:rPr/>
        <w:t xml:space="preserve">Report leaks, heating issues, or electrical faults within 24 hours. </w:t>
      </w:r>
    </w:p>
    <w:p>
      <w:pPr>
        <w:pStyle w:val="BodyText"/>
        <w:numPr>
          <w:ilvl w:val="0"/>
          <w:numId w:val="2"/>
        </w:numPr>
        <w:tabs>
          <w:tab w:val="clear" w:pos="1134"/>
          <w:tab w:val="left" w:pos="2149" w:leader="none"/>
        </w:tabs>
        <w:bidi w:val="0"/>
        <w:spacing w:before="0" w:after="0"/>
        <w:ind w:hanging="283" w:start="2149"/>
        <w:rPr/>
      </w:pPr>
      <w:r>
        <w:rPr/>
        <w:t xml:space="preserve">Keep smoke detectors functional and report any failure immediately. </w:t>
      </w:r>
    </w:p>
    <w:p>
      <w:pPr>
        <w:pStyle w:val="BodyText"/>
        <w:numPr>
          <w:ilvl w:val="0"/>
          <w:numId w:val="2"/>
        </w:numPr>
        <w:tabs>
          <w:tab w:val="clear" w:pos="1134"/>
          <w:tab w:val="left" w:pos="2149" w:leader="none"/>
        </w:tabs>
        <w:bidi w:val="0"/>
        <w:spacing w:before="0" w:after="0"/>
        <w:ind w:hanging="283" w:start="2149"/>
        <w:rPr/>
      </w:pPr>
      <w:r>
        <w:rPr/>
        <w:t xml:space="preserve">Maintain yard and balcony in a safe and orderly condition. </w:t>
      </w:r>
    </w:p>
    <w:p>
      <w:pPr>
        <w:pStyle w:val="BodyText"/>
        <w:numPr>
          <w:ilvl w:val="0"/>
          <w:numId w:val="2"/>
        </w:numPr>
        <w:tabs>
          <w:tab w:val="clear" w:pos="1134"/>
          <w:tab w:val="left" w:pos="2149" w:leader="none"/>
        </w:tabs>
        <w:bidi w:val="0"/>
        <w:ind w:hanging="283" w:start="2149"/>
        <w:rPr/>
      </w:pPr>
      <w:r>
        <w:rPr/>
        <w:t xml:space="preserve">Provide written notice of any change of address for the duration of the term. </w:t>
      </w:r>
    </w:p>
    <w:p>
      <w:pPr>
        <w:pStyle w:val="Heading2"/>
        <w:bidi w:val="0"/>
        <w:ind w:hanging="0" w:start="0" w:end="0"/>
        <w:jc w:val="start"/>
        <w:rPr/>
      </w:pPr>
      <w:r>
        <w:rPr/>
        <w:t>Appendix G — Utilities Setup Guide</w:t>
      </w:r>
    </w:p>
    <w:p>
      <w:pPr>
        <w:pStyle w:val="BodyText"/>
        <w:bidi w:val="0"/>
        <w:rPr/>
      </w:pPr>
      <w:r>
        <w:rPr/>
        <w:t>Tenant should transfer electricity and gas accounts to their own name effective June 1, 2026. Internet service may be arranged through any provider approved by the building. Water and sewer are billed by Landlord and included in the fixed service charge.</w:t>
      </w:r>
    </w:p>
    <w:p>
      <w:pPr>
        <w:pStyle w:val="Heading2"/>
        <w:bidi w:val="0"/>
        <w:ind w:hanging="0" w:start="0" w:end="0"/>
        <w:jc w:val="start"/>
        <w:rPr/>
      </w:pPr>
      <w:r>
        <w:rPr/>
        <w:t>Appendix H — Emergency Procedures</w:t>
      </w:r>
    </w:p>
    <w:p>
      <w:pPr>
        <w:pStyle w:val="BodyText"/>
        <w:bidi w:val="0"/>
        <w:rPr/>
      </w:pPr>
      <w:r>
        <w:rPr/>
        <w:t>In case of fire, use the nearest exit and do not use elevators. Building fire extinguishers are located on each floor near the stairwells. The building emergency contact number is posted in the lobby and in each unit's entry closet.</w:t>
      </w:r>
    </w:p>
    <w:p>
      <w:pPr>
        <w:pStyle w:val="Heading2"/>
        <w:bidi w:val="0"/>
        <w:ind w:hanging="0" w:start="0" w:end="0"/>
        <w:jc w:val="start"/>
        <w:rPr/>
      </w:pPr>
      <w:r>
        <w:rPr/>
        <w:t>Appendix I — Inventory of Included Items</w:t>
      </w:r>
    </w:p>
    <w:p>
      <w:pPr>
        <w:pStyle w:val="BodyText"/>
        <w:numPr>
          <w:ilvl w:val="0"/>
          <w:numId w:val="3"/>
        </w:numPr>
        <w:tabs>
          <w:tab w:val="clear" w:pos="1134"/>
          <w:tab w:val="left" w:pos="2149" w:leader="none"/>
        </w:tabs>
        <w:bidi w:val="0"/>
        <w:spacing w:before="0" w:after="0"/>
        <w:ind w:hanging="283" w:start="2149"/>
        <w:rPr/>
      </w:pPr>
      <w:r>
        <w:rPr/>
        <w:t xml:space="preserve">One refrigerator </w:t>
      </w:r>
    </w:p>
    <w:p>
      <w:pPr>
        <w:pStyle w:val="BodyText"/>
        <w:numPr>
          <w:ilvl w:val="0"/>
          <w:numId w:val="3"/>
        </w:numPr>
        <w:tabs>
          <w:tab w:val="clear" w:pos="1134"/>
          <w:tab w:val="left" w:pos="2149" w:leader="none"/>
        </w:tabs>
        <w:bidi w:val="0"/>
        <w:spacing w:before="0" w:after="0"/>
        <w:ind w:hanging="283" w:start="2149"/>
        <w:rPr/>
      </w:pPr>
      <w:r>
        <w:rPr/>
        <w:t xml:space="preserve">One range </w:t>
      </w:r>
    </w:p>
    <w:p>
      <w:pPr>
        <w:pStyle w:val="BodyText"/>
        <w:numPr>
          <w:ilvl w:val="0"/>
          <w:numId w:val="3"/>
        </w:numPr>
        <w:tabs>
          <w:tab w:val="clear" w:pos="1134"/>
          <w:tab w:val="left" w:pos="2149" w:leader="none"/>
        </w:tabs>
        <w:bidi w:val="0"/>
        <w:spacing w:before="0" w:after="0"/>
        <w:ind w:hanging="283" w:start="2149"/>
        <w:rPr/>
      </w:pPr>
      <w:r>
        <w:rPr/>
        <w:t xml:space="preserve">One dishwasher </w:t>
      </w:r>
    </w:p>
    <w:p>
      <w:pPr>
        <w:pStyle w:val="BodyText"/>
        <w:numPr>
          <w:ilvl w:val="0"/>
          <w:numId w:val="3"/>
        </w:numPr>
        <w:tabs>
          <w:tab w:val="clear" w:pos="1134"/>
          <w:tab w:val="left" w:pos="2149" w:leader="none"/>
        </w:tabs>
        <w:bidi w:val="0"/>
        <w:spacing w:before="0" w:after="0"/>
        <w:ind w:hanging="283" w:start="2149"/>
        <w:rPr/>
      </w:pPr>
      <w:r>
        <w:rPr/>
        <w:t xml:space="preserve">One in-unit washer </w:t>
      </w:r>
    </w:p>
    <w:p>
      <w:pPr>
        <w:pStyle w:val="BodyText"/>
        <w:numPr>
          <w:ilvl w:val="0"/>
          <w:numId w:val="3"/>
        </w:numPr>
        <w:tabs>
          <w:tab w:val="clear" w:pos="1134"/>
          <w:tab w:val="left" w:pos="2149" w:leader="none"/>
        </w:tabs>
        <w:bidi w:val="0"/>
        <w:spacing w:before="0" w:after="0"/>
        <w:ind w:hanging="283" w:start="2149"/>
        <w:rPr/>
      </w:pPr>
      <w:r>
        <w:rPr/>
        <w:t xml:space="preserve">One in-unit dryer </w:t>
      </w:r>
    </w:p>
    <w:p>
      <w:pPr>
        <w:pStyle w:val="BodyText"/>
        <w:numPr>
          <w:ilvl w:val="0"/>
          <w:numId w:val="3"/>
        </w:numPr>
        <w:tabs>
          <w:tab w:val="clear" w:pos="1134"/>
          <w:tab w:val="left" w:pos="2149" w:leader="none"/>
        </w:tabs>
        <w:bidi w:val="0"/>
        <w:spacing w:before="0" w:after="0"/>
        <w:ind w:hanging="283" w:start="2149"/>
        <w:rPr/>
      </w:pPr>
      <w:r>
        <w:rPr/>
        <w:t xml:space="preserve">One blinds set for each window </w:t>
      </w:r>
    </w:p>
    <w:p>
      <w:pPr>
        <w:pStyle w:val="BodyText"/>
        <w:numPr>
          <w:ilvl w:val="0"/>
          <w:numId w:val="3"/>
        </w:numPr>
        <w:tabs>
          <w:tab w:val="clear" w:pos="1134"/>
          <w:tab w:val="left" w:pos="2149" w:leader="none"/>
        </w:tabs>
        <w:bidi w:val="0"/>
        <w:spacing w:before="0" w:after="0"/>
        <w:ind w:hanging="283" w:start="2149"/>
        <w:rPr/>
      </w:pPr>
      <w:r>
        <w:rPr/>
        <w:t xml:space="preserve">One smoke detector per bedroom and one in the hallway </w:t>
      </w:r>
    </w:p>
    <w:p>
      <w:pPr>
        <w:pStyle w:val="BodyText"/>
        <w:numPr>
          <w:ilvl w:val="0"/>
          <w:numId w:val="3"/>
        </w:numPr>
        <w:tabs>
          <w:tab w:val="clear" w:pos="1134"/>
          <w:tab w:val="left" w:pos="2149" w:leader="none"/>
        </w:tabs>
        <w:bidi w:val="0"/>
        <w:ind w:hanging="283" w:start="2149"/>
        <w:rPr/>
      </w:pPr>
      <w:r>
        <w:rPr/>
        <w:t xml:space="preserve">One key fob for building entry and one set of unit keys </w:t>
      </w:r>
    </w:p>
    <w:p>
      <w:pPr>
        <w:pStyle w:val="Heading2"/>
        <w:bidi w:val="0"/>
        <w:ind w:hanging="0" w:start="0" w:end="0"/>
        <w:jc w:val="start"/>
        <w:rPr/>
      </w:pPr>
      <w:r>
        <w:rPr/>
        <w:t>Appendix J — Parking and Guest Rules</w:t>
      </w:r>
    </w:p>
    <w:p>
      <w:pPr>
        <w:pStyle w:val="BodyText"/>
        <w:bidi w:val="0"/>
        <w:rPr/>
      </w:pPr>
      <w:r>
        <w:rPr/>
        <w:t>Guest parking is available in spaces 12 through 15 on a first-come basis. Vehicles must not block fire lanes or loading zones. Landlord may tow vehicles that violate these rules in accordance with posted notices.</w:t>
      </w:r>
    </w:p>
    <w:p>
      <w:pPr>
        <w:pStyle w:val="Heading2"/>
        <w:bidi w:val="0"/>
        <w:ind w:hanging="0" w:start="0" w:end="0"/>
        <w:jc w:val="start"/>
        <w:rPr/>
      </w:pPr>
      <w:r>
        <w:rPr/>
        <w:t>Appendix K — Balcony and Outdoor Space</w:t>
      </w:r>
    </w:p>
    <w:p>
      <w:pPr>
        <w:pStyle w:val="BodyText"/>
        <w:bidi w:val="0"/>
        <w:rPr/>
      </w:pPr>
      <w:r>
        <w:rPr/>
        <w:t>The balcony is for private use by the assigned tenant only. Open flames and grills are not permitted on the balcony. Plants and furniture must not damage the railing or overhang into adjacent units.</w:t>
      </w:r>
    </w:p>
    <w:p>
      <w:pPr>
        <w:pStyle w:val="Heading2"/>
        <w:bidi w:val="0"/>
        <w:ind w:hanging="0" w:start="0" w:end="0"/>
        <w:jc w:val="start"/>
        <w:rPr/>
      </w:pPr>
      <w:r>
        <w:rPr/>
        <w:t>Appendix L — Noise and Common Areas</w:t>
      </w:r>
    </w:p>
    <w:p>
      <w:pPr>
        <w:pStyle w:val="BodyText"/>
        <w:bidi w:val="0"/>
        <w:rPr/>
      </w:pPr>
      <w:r>
        <w:rPr/>
        <w:t>Common areas include the lobby, laundry room, and courtyard. Tenant shall keep common areas clean and shall not store personal items in the laundry room overnight. Loud gatherings must respect the quiet hours stated in the house rules.</w:t>
      </w:r>
    </w:p>
    <w:p>
      <w:pPr>
        <w:pStyle w:val="Heading2"/>
        <w:bidi w:val="0"/>
        <w:ind w:hanging="0" w:start="0" w:end="0"/>
        <w:jc w:val="start"/>
        <w:rPr/>
      </w:pPr>
      <w:r>
        <w:rPr/>
        <w:t>Appendix M — Pest Control</w:t>
      </w:r>
    </w:p>
    <w:p>
      <w:pPr>
        <w:pStyle w:val="BodyText"/>
        <w:bidi w:val="0"/>
        <w:rPr/>
      </w:pPr>
      <w:r>
        <w:rPr/>
        <w:t>Scheduled pest control visits occur quarterly. Tenant shall keep food sealed and report any pest activity promptly. Entry for treatment is permitted with 24 hours' notice unless there is an active infestation.</w:t>
      </w:r>
    </w:p>
    <w:p>
      <w:pPr>
        <w:pStyle w:val="Heading2"/>
        <w:bidi w:val="0"/>
        <w:ind w:hanging="0" w:start="0" w:end="0"/>
        <w:jc w:val="start"/>
        <w:rPr/>
      </w:pPr>
      <w:r>
        <w:rPr/>
        <w:t>Appendix N — Window and Blinds Care</w:t>
      </w:r>
    </w:p>
    <w:p>
      <w:pPr>
        <w:pStyle w:val="BodyText"/>
        <w:bidi w:val="0"/>
        <w:rPr/>
      </w:pPr>
      <w:r>
        <w:rPr/>
        <w:t>Blinds are to be cleaned with a dry duster. Do not apply liquid cleaners to the slats. Any damaged blinds should be reported for repair or replacement assessment.</w:t>
      </w:r>
    </w:p>
    <w:p>
      <w:pPr>
        <w:pStyle w:val="Heading2"/>
        <w:bidi w:val="0"/>
        <w:ind w:hanging="0" w:start="0" w:end="0"/>
        <w:jc w:val="start"/>
        <w:rPr/>
      </w:pPr>
      <w:r>
        <w:rPr/>
        <w:t>Appendix O — Heating and Cooling</w:t>
      </w:r>
    </w:p>
    <w:p>
      <w:pPr>
        <w:pStyle w:val="BodyText"/>
        <w:bidi w:val="0"/>
        <w:rPr/>
      </w:pPr>
      <w:r>
        <w:rPr/>
        <w:t>The thermostat is set to an energy-efficient baseline. Tenant may adjust the thermostat within the range of 65 to 78 degrees Fahrenheit. Seasonal filter changes are provided by Landlord in October and April.</w:t>
      </w:r>
    </w:p>
    <w:p>
      <w:pPr>
        <w:pStyle w:val="Heading2"/>
        <w:bidi w:val="0"/>
        <w:ind w:hanging="0" w:start="0" w:end="0"/>
        <w:jc w:val="start"/>
        <w:rPr/>
      </w:pPr>
      <w:r>
        <w:rPr/>
        <w:t>Appendix P — Smoke and Carbon Monoxide Detection</w:t>
      </w:r>
    </w:p>
    <w:p>
      <w:pPr>
        <w:pStyle w:val="BodyText"/>
        <w:bidi w:val="0"/>
        <w:rPr/>
      </w:pPr>
      <w:r>
        <w:rPr/>
        <w:t>Smoke detectors and the carbon monoxide detector are professionally tested annually. Tenant shall not remove the batteries and shall report any chirping or malfunction to the office the same day.</w:t>
      </w:r>
    </w:p>
    <w:p>
      <w:pPr>
        <w:pStyle w:val="Heading2"/>
        <w:bidi w:val="0"/>
        <w:ind w:hanging="0" w:start="0" w:end="0"/>
        <w:jc w:val="start"/>
        <w:rPr/>
      </w:pPr>
      <w:r>
        <w:rPr/>
        <w:t>Appendix Q — Move-Out Procedures</w:t>
      </w:r>
    </w:p>
    <w:p>
      <w:pPr>
        <w:pStyle w:val="BodyText"/>
        <w:bidi w:val="0"/>
        <w:rPr/>
      </w:pPr>
      <w:r>
        <w:rPr/>
        <w:t>Tenant shall provide 30 days' written notice of intent to vacate. The unit must be left broom-clean with all keys and fobs returned. The security deposit will be reconciled within the period required by Oregon law.</w:t>
      </w:r>
    </w:p>
    <w:p>
      <w:pPr>
        <w:pStyle w:val="BodyText"/>
        <w:bidi w:val="0"/>
        <w:spacing w:before="450" w:after="150"/>
        <w:ind w:hanging="0" w:start="0" w:end="0"/>
        <w:jc w:val="center"/>
        <w:rPr>
          <w:sz w:val="20"/>
          <w:bdr w:val="single" w:sz="12" w:space="8" w:color="000000"/>
        </w:rPr>
      </w:pPr>
      <w:r>
        <w:rPr>
          <w:sz w:val="20"/>
          <w:bdr w:val="single" w:sz="12" w:space="8" w:color="000000"/>
        </w:rPr>
        <w:t>© 2026 Northgate Residential Properties LLC. Internal circulation only — do not modify the figures, clauses, or formatting of this agreement outside the approved editing workflow; redistribution outside the firm is prohibited.</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Times New Roman;Times;serif" w:hAnsi="Times New Roman;Times;serif" w:eastAsia="Times New Roman;Times;serif" w:cs="Times New Roman;Times;serif"/>
      <w:color w:val="000000"/>
      <w:sz w:val="24"/>
      <w:szCs w:val="24"/>
      <w:lang w:val="en-US" w:eastAsia="zh-CN" w:bidi="hi-IN"/>
    </w:rPr>
  </w:style>
  <w:style w:type="paragraph" w:styleId="Heading1">
    <w:name w:val="Heading 1"/>
    <w:basedOn w:val="Heading"/>
    <w:next w:val="BodyText"/>
    <w:qFormat/>
    <w:pPr>
      <w:spacing w:before="240" w:after="300"/>
      <w:jc w:val="center"/>
    </w:pPr>
    <w:rPr>
      <w:rFonts w:ascii="Noto Sans" w:hAnsi="Noto Sans"/>
      <w:b/>
      <w:bCs/>
      <w:caps/>
      <w:sz w:val="32"/>
      <w:szCs w:val="32"/>
    </w:rPr>
  </w:style>
  <w:style w:type="paragraph" w:styleId="Heading2">
    <w:name w:val="Heading 2"/>
    <w:basedOn w:val="Heading"/>
    <w:next w:val="BodyText"/>
    <w:qFormat/>
    <w:pPr>
      <w:spacing w:before="300" w:after="150"/>
      <w:outlineLvl w:val="1"/>
    </w:pPr>
    <w:rPr>
      <w:rFonts w:ascii="Liberation Serif" w:hAnsi="Liberation Serif" w:eastAsia="Noto Serif CJK SC" w:cs="Noto Sans Devanagari"/>
      <w:b/>
      <w:bCs/>
      <w:caps/>
      <w:sz w:val="24"/>
      <w:szCs w:val="24"/>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150"/>
      <w:jc w:val="both"/>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Residential Lease Agreement - Internal Draft</dc:title>
</cp:coreProperties>
</file>

<file path=docProps/custom.xml><?xml version="1.0" encoding="utf-8"?>
<Properties xmlns="http://schemas.openxmlformats.org/officeDocument/2006/custom-properties" xmlns:vt="http://schemas.openxmlformats.org/officeDocument/2006/docPropsVTypes"/>
</file>