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Supplier Purchase Agreement</w:t>
      </w:r>
    </w:p>
    <w:p>
      <w:pPr>
        <w:pStyle w:val="BodyText"/>
        <w:bidi w:val="0"/>
        <w:spacing w:before="0" w:after="450"/>
        <w:ind w:hanging="0" w:start="0" w:end="0"/>
        <w:jc w:val="center"/>
        <w:rPr>
          <w:b/>
          <w:caps/>
          <w:sz w:val="28"/>
        </w:rPr>
      </w:pPr>
      <w:r>
        <w:rPr>
          <w:b/>
          <w:caps/>
          <w:sz w:val="28"/>
        </w:rPr>
        <w:t>Internal Draft</w:t>
      </w:r>
    </w:p>
    <w:p>
      <w:pPr>
        <w:pStyle w:val="BodyText"/>
        <w:bidi w:val="0"/>
        <w:rPr/>
      </w:pPr>
      <w:r>
        <w:rPr/>
        <w:t>This Supplier Purchase Agreement (the "Agreement") is made and entered into as of January 15, 2026, by and between Meridian Logistics Inc., with its principal place of business at 480 Commerce Parkway, Suite 900, Portland, OR 97204 ("Supplier"), and the purchaser identified on the order form referenced below ("Buyer").</w:t>
      </w:r>
    </w:p>
    <w:p>
      <w:pPr>
        <w:pStyle w:val="Heading2"/>
        <w:bidi w:val="0"/>
        <w:jc w:val="start"/>
        <w:rPr/>
      </w:pPr>
      <w:r>
        <w:rPr/>
        <w:t>1. Scope of Supply</w:t>
      </w:r>
    </w:p>
    <w:p>
      <w:pPr>
        <w:pStyle w:val="BodyText"/>
        <w:bidi w:val="0"/>
        <w:rPr/>
      </w:pPr>
      <w:r>
        <w:rPr/>
        <w:t>Supplier shall provide the goods and related logistics services described in Purchase Order No. ML-2026-0417, dated January 10, 2026, together with all documentation, labels, and certifications reasonably required for delivery, inspection, and customs clearance of the Goods (the "Goods").</w:t>
      </w:r>
    </w:p>
    <w:p>
      <w:pPr>
        <w:pStyle w:val="Heading2"/>
        <w:bidi w:val="0"/>
        <w:jc w:val="start"/>
        <w:rPr/>
      </w:pPr>
      <w:r>
        <w:rPr/>
        <w:t>2. Order and Acceptance</w:t>
      </w:r>
    </w:p>
    <w:p>
      <w:pPr>
        <w:pStyle w:val="BodyText"/>
        <w:bidi w:val="0"/>
        <w:rPr/>
      </w:pPr>
      <w:r>
        <w:rPr/>
        <w:t>Buyer shall issue written purchase orders in accordance with this Agreement. Each purchase order shall specify the description, quantity, unit price, delivery date, and delivery location for the ordered Goods. Supplier shall confirm or reject each purchase order in writing within three (3) business days of receipt; a purchase order not confirmed or rejected within that period is deemed accepted.</w:t>
      </w:r>
    </w:p>
    <w:p>
      <w:pPr>
        <w:pStyle w:val="Heading2"/>
        <w:bidi w:val="0"/>
        <w:jc w:val="start"/>
        <w:rPr/>
      </w:pPr>
      <w:r>
        <w:rPr/>
        <w:t>3. Delivery and Risk of Loss</w:t>
      </w:r>
    </w:p>
    <w:p>
      <w:pPr>
        <w:pStyle w:val="BodyText"/>
        <w:bidi w:val="0"/>
        <w:rPr/>
      </w:pPr>
      <w:r>
        <w:rPr/>
        <w:t>Delivery of the Goods shall be made to the location specified on the applicable purchase order. Risk of loss and title to the Goods shall pass to Buyer upon delivery to the named carrier at the origin point, unless the applicable purchase order expressly provides otherwise. Supplier shall notify Buyer in writing within twenty-four (24) hours of any delay, shortage, or damage discovered during loading or transit.</w:t>
      </w:r>
    </w:p>
    <w:p>
      <w:pPr>
        <w:pStyle w:val="Heading2"/>
        <w:bidi w:val="0"/>
        <w:jc w:val="start"/>
        <w:rPr/>
      </w:pPr>
      <w:r>
        <w:rPr/>
        <w:t>4. Inspection and Acceptance</w:t>
      </w:r>
    </w:p>
    <w:p>
      <w:pPr>
        <w:pStyle w:val="BodyText"/>
        <w:bidi w:val="0"/>
        <w:rPr/>
      </w:pPr>
      <w:r>
        <w:rPr/>
        <w:t>Buyer shall have ten (10) business days after delivery to inspect the Goods and to notify Supplier in writing of any nonconformity, shortage, or damage. Supplier shall, at its option and at its own expense, repair or replace any nonconforming Goods, or refund the purchase price of rejected Goods, provided Buyer returns the rejected Goods in their original condition where practicable.</w:t>
      </w:r>
    </w:p>
    <w:p>
      <w:pPr>
        <w:pStyle w:val="Heading2"/>
        <w:bidi w:val="0"/>
        <w:jc w:val="start"/>
        <w:rPr/>
      </w:pPr>
      <w:r>
        <w:rPr/>
        <w:t>5. Payment Terms</w:t>
      </w:r>
    </w:p>
    <w:p>
      <w:pPr>
        <w:pStyle w:val="BodyText"/>
        <w:bidi w:val="0"/>
        <w:rPr/>
      </w:pPr>
      <w:r>
        <w:rPr/>
        <w:t>Buyer shall pay all undisputed invoices within thirty (30) days of the date of invoice in U.S. dollars by wire transfer to the account designated by Supplier. Late payments shall accrue interest at the lesser of 1.5% per month or the maximum rate permitted by applicable law. Buyer may withhold payment of amounts reasonably disputed in good faith, provided Buyer notifies Supplier in writing of the basis for the dispute within ten (10) business days of receiving the invoice.</w:t>
      </w:r>
    </w:p>
    <w:p>
      <w:pPr>
        <w:pStyle w:val="Heading2"/>
        <w:bidi w:val="0"/>
        <w:jc w:val="start"/>
        <w:rPr/>
      </w:pPr>
      <w:r>
        <w:rPr/>
        <w:t>6. Warranties</w:t>
      </w:r>
    </w:p>
    <w:p>
      <w:pPr>
        <w:pStyle w:val="BodyText"/>
        <w:bidi w:val="0"/>
        <w:rPr/>
      </w:pPr>
      <w:r>
        <w:rPr/>
        <w:t>Supplier warrants that the Goods will conform in all material respects to the specifications set forth in the applicable purchase order, will be free from material defects in materials and workmanship for a period of twelve (12) months from delivery, and will comply with all applicable laws, regulations, and export control requirements. This warranty is in lieu of all other warranties, express or implied, except to the extent such warranties may not be excluded or limited by law.</w:t>
      </w:r>
    </w:p>
    <w:p>
      <w:pPr>
        <w:pStyle w:val="Heading2"/>
        <w:bidi w:val="0"/>
        <w:jc w:val="start"/>
        <w:rPr/>
      </w:pPr>
      <w:r>
        <w:rPr/>
        <w:t>7. Limitation of Liability</w:t>
      </w:r>
    </w:p>
    <w:p>
      <w:pPr>
        <w:pStyle w:val="BodyTextcaps"/>
        <w:bidi w:val="0"/>
        <w:rPr/>
      </w:pPr>
      <w:r>
        <w:rPr/>
        <w:t>Except for breach of confidentiality, willful misconduct, or fraud, neither party shall be liable for any indirect, incidental, consequential, special, or punitive damages, including lost profits, arising out of or relating to this Agreement, even if advised of the possibility of such damages. Each party's aggregate liability arising out of or relating to this Agreement shall not exceed the total amounts paid or payable by Buyer to Supplier in the twelve (12) months preceding the event giving rise to the claim.</w:t>
      </w:r>
    </w:p>
    <w:p>
      <w:pPr>
        <w:pStyle w:val="Heading2"/>
        <w:bidi w:val="0"/>
        <w:jc w:val="start"/>
        <w:rPr/>
      </w:pPr>
      <w:r>
        <w:rPr/>
        <w:t>8. Confidentiality</w:t>
      </w:r>
    </w:p>
    <w:p>
      <w:pPr>
        <w:pStyle w:val="BodyText"/>
        <w:bidi w:val="0"/>
        <w:rPr/>
      </w:pPr>
      <w:r>
        <w:rPr/>
        <w:t>Each party shall protect the other party's nonpublic business, technical, and pricing information using at least the same degree of care it uses to protect its own confidential information, and in no event less than a reasonable degree of care. Confidential information may be disclosed only to employees and professional advisors with a need to know who are bound by obligations of confidentiality no less protective than those in this Section.</w:t>
      </w:r>
    </w:p>
    <w:p>
      <w:pPr>
        <w:pStyle w:val="Heading2"/>
        <w:bidi w:val="0"/>
        <w:jc w:val="start"/>
        <w:rPr/>
      </w:pPr>
      <w:r>
        <w:rPr/>
        <w:t>9. Term and Termination</w:t>
      </w:r>
    </w:p>
    <w:p>
      <w:pPr>
        <w:pStyle w:val="BodyText"/>
        <w:bidi w:val="0"/>
        <w:rPr/>
      </w:pPr>
      <w:r>
        <w:rPr/>
        <w:t>This Agreement shall commence on the Effective Date and continue for an initial term of two (2) years, renewing automatically for successive one (1) year terms unless either party gives written notice of non-renewal at least sixty (60) days before the end of the then-current term. Either party may terminate this Agreement for material breach that remains uncured thirty (30) days after written notice, or immediately upon the other party's insolvency, bankruptcy, or assignment for the benefit of creditors.</w:t>
      </w:r>
    </w:p>
    <w:p>
      <w:pPr>
        <w:pStyle w:val="Heading2"/>
        <w:bidi w:val="0"/>
        <w:jc w:val="start"/>
        <w:rPr/>
      </w:pPr>
      <w:r>
        <w:rPr/>
        <w:t>10. Governing Law and Dispute Resolution</w:t>
      </w:r>
    </w:p>
    <w:p>
      <w:pPr>
        <w:pStyle w:val="BodyText"/>
        <w:bidi w:val="0"/>
        <w:rPr/>
      </w:pPr>
      <w:r>
        <w:rPr/>
        <w:t>This Agreement shall be governed by the laws of the State of Oregon, without regard to its conflict of laws principles. Any dispute arising out of or relating to this Agreement that cannot be resolved by good-faith negotiation between the parties' designated executives within thirty (30) days shall be submitted to binding arbitration in Portland, Oregon, administered under the Commercial Arbitration Rules of the American Arbitration Association.</w:t>
      </w:r>
    </w:p>
    <w:p>
      <w:pPr>
        <w:pStyle w:val="Heading2"/>
        <w:bidi w:val="0"/>
        <w:jc w:val="start"/>
        <w:rPr/>
      </w:pPr>
      <w:r>
        <w:rPr/>
        <w:t>11. General Provisions</w:t>
      </w:r>
    </w:p>
    <w:p>
      <w:pPr>
        <w:pStyle w:val="BodyText"/>
        <w:bidi w:val="0"/>
        <w:rPr/>
      </w:pPr>
      <w:r>
        <w:rPr/>
        <w:t>This Agreement, together with any purchase orders and exhibits attached hereto, constitutes the entire agreement of the parties with respect to its subject matter and supersedes all prior negotiations, understandings, and agreements. Neither party may assign this Agreement without the prior written consent of the other party, except that either party may assign this Agreement to an affiliate or in connection with a merger, acquisition, or sale of substantially all of its assets. If any provision of this Agreement is held invalid or unenforceable, the remaining provisions shall continue in full force and effect. This Agreement may be executed in counterparts, each of which shall be deemed an original and all of which together shall constitute one and the same instrument.</w:t>
      </w:r>
    </w:p>
    <w:p>
      <w:pPr>
        <w:pStyle w:val="BodyText"/>
        <w:bidi w:val="0"/>
        <w:rPr/>
      </w:pPr>
      <w:r>
        <w:rPr>
          <w:rStyle w:val="Strong"/>
        </w:rPr>
        <w:t>IN WITNESS WHEREOF</w:t>
      </w:r>
      <w:r>
        <w:rPr/>
        <w:t>, the parties have executed this Supplier Purchase Agreement by their duly authorized representatives as of the Effective Date.</w:t>
      </w:r>
    </w:p>
    <w:tbl>
      <w:tblPr>
        <w:tblW w:w="6032" w:type="dxa"/>
        <w:jc w:val="start"/>
        <w:tblInd w:w="0" w:type="dxa"/>
        <w:tblLayout w:type="fixed"/>
        <w:tblCellMar>
          <w:top w:w="28" w:type="dxa"/>
          <w:start w:w="28" w:type="dxa"/>
          <w:bottom w:w="28" w:type="dxa"/>
          <w:end w:w="28" w:type="dxa"/>
        </w:tblCellMar>
      </w:tblPr>
      <w:tblGrid>
        <w:gridCol w:w="3001"/>
        <w:gridCol w:w="3031"/>
      </w:tblGrid>
      <w:tr>
        <w:trPr/>
        <w:tc>
          <w:tcPr>
            <w:tcW w:w="3001" w:type="dxa"/>
            <w:tcBorders/>
            <w:vAlign w:val="center"/>
          </w:tcPr>
          <w:p>
            <w:pPr>
              <w:pStyle w:val="TableContents"/>
              <w:bidi w:val="0"/>
              <w:rPr/>
            </w:pPr>
            <w:r>
              <w:rPr>
                <w:rStyle w:val="Strong"/>
              </w:rPr>
              <w:t>SUPPLIER:</w:t>
            </w:r>
            <w:r>
              <w:rPr/>
              <w:t xml:space="preserve"> Meridian Logistics Inc.</w:t>
            </w:r>
          </w:p>
          <w:p>
            <w:pPr>
              <w:pStyle w:val="TableContents"/>
              <w:bidi w:val="0"/>
              <w:spacing w:before="450" w:after="180"/>
              <w:ind w:hanging="0" w:start="0" w:end="0"/>
              <w:rPr>
                <w:sz w:val="20"/>
                <w:bdr w:val="single" w:sz="2" w:space="4" w:color="000000"/>
              </w:rPr>
            </w:pPr>
            <w:r>
              <w:rPr>
                <w:sz w:val="20"/>
                <w:bdr w:val="single" w:sz="2" w:space="4" w:color="000000"/>
              </w:rPr>
              <w:t>By: ____________________________</w:t>
              <w:br/>
              <w:t>Name: Dana Whitfield</w:t>
              <w:br/>
              <w:t>Title: Vice President, Commercial Operations</w:t>
              <w:br/>
              <w:t xml:space="preserve">Date: ____________________________ </w:t>
            </w:r>
          </w:p>
        </w:tc>
        <w:tc>
          <w:tcPr>
            <w:tcW w:w="3031" w:type="dxa"/>
            <w:tcBorders/>
            <w:vAlign w:val="center"/>
          </w:tcPr>
          <w:p>
            <w:pPr>
              <w:pStyle w:val="TableContents"/>
              <w:bidi w:val="0"/>
              <w:rPr/>
            </w:pPr>
            <w:r>
              <w:rPr>
                <w:rStyle w:val="Strong"/>
              </w:rPr>
              <w:t>BUYER:</w:t>
            </w:r>
            <w:r>
              <w:rPr/>
              <w:t xml:space="preserve"> ____________________________</w:t>
            </w:r>
          </w:p>
          <w:p>
            <w:pPr>
              <w:pStyle w:val="TableContents"/>
              <w:bidi w:val="0"/>
              <w:spacing w:before="450" w:after="180"/>
              <w:ind w:hanging="0" w:start="0" w:end="0"/>
              <w:rPr>
                <w:sz w:val="20"/>
                <w:bdr w:val="single" w:sz="2" w:space="4" w:color="000000"/>
              </w:rPr>
            </w:pPr>
            <w:r>
              <w:rPr>
                <w:sz w:val="20"/>
                <w:bdr w:val="single" w:sz="2" w:space="4" w:color="000000"/>
              </w:rPr>
              <w:t>By: ____________________________</w:t>
              <w:br/>
              <w:t>Name: ____________________________</w:t>
              <w:br/>
              <w:t>Title: ____________________________</w:t>
              <w:br/>
              <w:t xml:space="preserve">Date: ____________________________ </w:t>
            </w:r>
          </w:p>
        </w:tc>
      </w:tr>
    </w:tbl>
    <w:p>
      <w:pPr>
        <w:pStyle w:val="BodyText"/>
        <w:bidi w:val="0"/>
        <w:spacing w:before="750" w:after="180"/>
        <w:ind w:hanging="0" w:start="0" w:end="0"/>
        <w:jc w:val="center"/>
        <w:rPr>
          <w:color w:val="333333"/>
          <w:sz w:val="18"/>
          <w:bdr w:val="single" w:sz="2" w:space="8" w:color="000000"/>
        </w:rPr>
      </w:pPr>
      <w:r>
        <w:rPr>
          <w:color w:val="333333"/>
          <w:sz w:val="18"/>
          <w:bdr w:val="single" w:sz="2" w:space="8" w:color="000000"/>
        </w:rPr>
        <w:t xml:space="preserve">© 2026 Meridian Logistics Inc. This document is an internal working draft containing proprietary pricing, terms, and negotiation positions. It is marked INTERNAL DRAFT and is for internal circulation only; reproduction, redistribution, or release of this draft outside the firm in any form, including by adding, removing, or altering text, is prohibited without the written approval of the Legal Department.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240" w:after="75"/>
      <w:jc w:val="center"/>
    </w:pPr>
    <w:rPr>
      <w:rFonts w:ascii="Noto Sans" w:hAnsi="Noto Sans"/>
      <w:b/>
      <w:bCs/>
      <w:caps/>
      <w:sz w:val="32"/>
      <w:szCs w:val="32"/>
    </w:rPr>
  </w:style>
  <w:style w:type="paragraph" w:styleId="Heading2">
    <w:name w:val="Heading 2"/>
    <w:basedOn w:val="Heading"/>
    <w:next w:val="BodyText"/>
    <w:qFormat/>
    <w:pPr>
      <w:spacing w:before="300" w:after="150"/>
      <w:outlineLvl w:val="1"/>
    </w:pPr>
    <w:rPr>
      <w:rFonts w:ascii="Liberation Serif" w:hAnsi="Liberation Serif" w:eastAsia="Noto Serif CJK SC" w:cs="Noto Sans Devanagari"/>
      <w:b/>
      <w:bCs/>
      <w:cap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aps">
    <w:name w:val="Body Text.caps"/>
    <w:basedOn w:val="BodyText"/>
    <w:qFormat/>
    <w:pPr/>
    <w:rPr>
      <w:cap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Supplier Purchase Agreement — Internal Draft</dc:title>
</cp:coreProperties>
</file>

<file path=docProps/custom.xml><?xml version="1.0" encoding="utf-8"?>
<Properties xmlns="http://schemas.openxmlformats.org/officeDocument/2006/custom-properties" xmlns:vt="http://schemas.openxmlformats.org/officeDocument/2006/docPropsVTypes"/>
</file>