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50"/>
        <w:ind w:hanging="0" w:start="0" w:end="0"/>
        <w:jc w:val="end"/>
        <w:rPr>
          <w:b/>
          <w:caps/>
          <w:color w:val="D32F2F"/>
          <w:sz w:val="20"/>
        </w:rPr>
      </w:pPr>
      <w:r>
        <w:rPr>
          <w:b/>
          <w:caps/>
          <w:color w:val="D32F2F"/>
          <w:sz w:val="20"/>
        </w:rPr>
        <w:t>Internal Use Only</w:t>
      </w:r>
    </w:p>
    <w:p>
      <w:pPr>
        <w:pStyle w:val="BodyText"/>
        <w:bidi w:val="0"/>
        <w:spacing w:before="0" w:after="75"/>
        <w:ind w:hanging="0" w:start="0" w:end="0"/>
        <w:jc w:val="center"/>
        <w:rPr>
          <w:b/>
          <w:color w:val="2C3E50"/>
          <w:sz w:val="36"/>
          <w:bdr w:val="single" w:sz="12" w:space="11" w:color="2C3E50"/>
        </w:rPr>
      </w:pPr>
      <w:r>
        <w:rPr>
          <w:b/>
          <w:color w:val="2C3E50"/>
          <w:sz w:val="36"/>
          <w:bdr w:val="single" w:sz="12" w:space="11" w:color="2C3E50"/>
        </w:rPr>
        <w:t>Meridian Logistics</w:t>
      </w:r>
    </w:p>
    <w:p>
      <w:pPr>
        <w:pStyle w:val="BodyText"/>
        <w:bidi w:val="0"/>
        <w:spacing w:before="0" w:after="375"/>
        <w:ind w:hanging="0" w:start="0" w:end="0"/>
        <w:jc w:val="center"/>
        <w:rPr>
          <w:b/>
          <w:caps/>
          <w:color w:val="555555"/>
          <w:spacing w:val="15"/>
          <w:sz w:val="28"/>
          <w:bdr w:val="single" w:sz="12" w:space="11" w:color="2C3E50"/>
        </w:rPr>
      </w:pPr>
      <w:r>
        <w:rPr>
          <w:b/>
          <w:caps/>
          <w:color w:val="555555"/>
          <w:spacing w:val="15"/>
          <w:sz w:val="28"/>
          <w:bdr w:val="single" w:sz="12" w:space="11" w:color="2C3E50"/>
        </w:rPr>
        <w:t>Employee Performance Review</w:t>
      </w:r>
    </w:p>
    <w:tbl>
      <w:tblPr>
        <w:tblW w:w="4549" w:type="dxa"/>
        <w:jc w:val="start"/>
        <w:tblInd w:w="0" w:type="dxa"/>
        <w:tblLayout w:type="fixed"/>
        <w:tblCellMar>
          <w:top w:w="28" w:type="dxa"/>
          <w:start w:w="28" w:type="dxa"/>
          <w:bottom w:w="28" w:type="dxa"/>
          <w:end w:w="28" w:type="dxa"/>
        </w:tblCellMar>
      </w:tblPr>
      <w:tblGrid>
        <w:gridCol w:w="1081"/>
        <w:gridCol w:w="1186"/>
        <w:gridCol w:w="1156"/>
        <w:gridCol w:w="1126"/>
      </w:tblGrid>
      <w:tr>
        <w:trPr/>
        <w:tc>
          <w:tcPr>
            <w:tcW w:w="1081" w:type="dxa"/>
            <w:tcBorders/>
            <w:vAlign w:val="center"/>
          </w:tcPr>
          <w:p>
            <w:pPr>
              <w:pStyle w:val="TableContents"/>
              <w:bidi w:val="0"/>
              <w:spacing w:before="0" w:after="180"/>
              <w:rPr/>
            </w:pPr>
            <w:r>
              <w:rPr/>
              <w:t>Employee Name</w:t>
            </w:r>
          </w:p>
        </w:tc>
        <w:tc>
          <w:tcPr>
            <w:tcW w:w="1186" w:type="dxa"/>
            <w:tcBorders/>
            <w:vAlign w:val="center"/>
          </w:tcPr>
          <w:p>
            <w:pPr>
              <w:pStyle w:val="TableContents"/>
              <w:bidi w:val="0"/>
              <w:spacing w:before="0" w:after="180"/>
              <w:rPr/>
            </w:pPr>
            <w:r>
              <w:rPr/>
              <w:t>Jordan Lee</w:t>
            </w:r>
          </w:p>
        </w:tc>
        <w:tc>
          <w:tcPr>
            <w:tcW w:w="1156" w:type="dxa"/>
            <w:tcBorders/>
            <w:vAlign w:val="center"/>
          </w:tcPr>
          <w:p>
            <w:pPr>
              <w:pStyle w:val="TableContents"/>
              <w:bidi w:val="0"/>
              <w:spacing w:before="0" w:after="180"/>
              <w:rPr/>
            </w:pPr>
            <w:r>
              <w:rPr/>
              <w:t>Employee ID</w:t>
            </w:r>
          </w:p>
        </w:tc>
        <w:tc>
          <w:tcPr>
            <w:tcW w:w="1126" w:type="dxa"/>
            <w:tcBorders/>
            <w:vAlign w:val="center"/>
          </w:tcPr>
          <w:p>
            <w:pPr>
              <w:pStyle w:val="TableContents"/>
              <w:bidi w:val="0"/>
              <w:spacing w:before="0" w:after="180"/>
              <w:rPr/>
            </w:pPr>
            <w:r>
              <w:rPr/>
              <w:t>ML-2049-882</w:t>
            </w:r>
          </w:p>
        </w:tc>
      </w:tr>
      <w:tr>
        <w:trPr/>
        <w:tc>
          <w:tcPr>
            <w:tcW w:w="1081" w:type="dxa"/>
            <w:tcBorders/>
            <w:vAlign w:val="center"/>
          </w:tcPr>
          <w:p>
            <w:pPr>
              <w:pStyle w:val="TableContents"/>
              <w:bidi w:val="0"/>
              <w:spacing w:before="0" w:after="180"/>
              <w:rPr/>
            </w:pPr>
            <w:r>
              <w:rPr/>
              <w:t>Position</w:t>
            </w:r>
          </w:p>
        </w:tc>
        <w:tc>
          <w:tcPr>
            <w:tcW w:w="1186" w:type="dxa"/>
            <w:tcBorders/>
            <w:vAlign w:val="center"/>
          </w:tcPr>
          <w:p>
            <w:pPr>
              <w:pStyle w:val="TableContents"/>
              <w:bidi w:val="0"/>
              <w:spacing w:before="0" w:after="180"/>
              <w:rPr/>
            </w:pPr>
            <w:r>
              <w:rPr/>
              <w:t>Operations Coordinator</w:t>
            </w:r>
          </w:p>
        </w:tc>
        <w:tc>
          <w:tcPr>
            <w:tcW w:w="1156" w:type="dxa"/>
            <w:tcBorders/>
            <w:vAlign w:val="center"/>
          </w:tcPr>
          <w:p>
            <w:pPr>
              <w:pStyle w:val="TableContents"/>
              <w:bidi w:val="0"/>
              <w:spacing w:before="0" w:after="180"/>
              <w:rPr/>
            </w:pPr>
            <w:r>
              <w:rPr/>
              <w:t>Department</w:t>
            </w:r>
          </w:p>
        </w:tc>
        <w:tc>
          <w:tcPr>
            <w:tcW w:w="1126" w:type="dxa"/>
            <w:tcBorders/>
            <w:vAlign w:val="center"/>
          </w:tcPr>
          <w:p>
            <w:pPr>
              <w:pStyle w:val="TableContents"/>
              <w:bidi w:val="0"/>
              <w:spacing w:before="0" w:after="180"/>
              <w:rPr/>
            </w:pPr>
            <w:r>
              <w:rPr/>
              <w:t>Customer Operations</w:t>
            </w:r>
          </w:p>
        </w:tc>
      </w:tr>
      <w:tr>
        <w:trPr/>
        <w:tc>
          <w:tcPr>
            <w:tcW w:w="1081" w:type="dxa"/>
            <w:tcBorders/>
            <w:vAlign w:val="center"/>
          </w:tcPr>
          <w:p>
            <w:pPr>
              <w:pStyle w:val="TableContents"/>
              <w:bidi w:val="0"/>
              <w:spacing w:before="0" w:after="180"/>
              <w:rPr/>
            </w:pPr>
            <w:r>
              <w:rPr/>
              <w:t>Review Period</w:t>
            </w:r>
          </w:p>
        </w:tc>
        <w:tc>
          <w:tcPr>
            <w:tcW w:w="1186" w:type="dxa"/>
            <w:tcBorders/>
            <w:vAlign w:val="center"/>
          </w:tcPr>
          <w:p>
            <w:pPr>
              <w:pStyle w:val="TableContents"/>
              <w:bidi w:val="0"/>
              <w:spacing w:before="0" w:after="180"/>
              <w:rPr/>
            </w:pPr>
            <w:r>
              <w:rPr/>
              <w:t>Q2 2026</w:t>
            </w:r>
          </w:p>
        </w:tc>
        <w:tc>
          <w:tcPr>
            <w:tcW w:w="1156" w:type="dxa"/>
            <w:tcBorders/>
            <w:vAlign w:val="center"/>
          </w:tcPr>
          <w:p>
            <w:pPr>
              <w:pStyle w:val="TableContents"/>
              <w:bidi w:val="0"/>
              <w:spacing w:before="0" w:after="180"/>
              <w:rPr/>
            </w:pPr>
            <w:r>
              <w:rPr/>
              <w:t>Date of Review</w:t>
            </w:r>
          </w:p>
        </w:tc>
        <w:tc>
          <w:tcPr>
            <w:tcW w:w="1126" w:type="dxa"/>
            <w:tcBorders/>
            <w:vAlign w:val="center"/>
          </w:tcPr>
          <w:p>
            <w:pPr>
              <w:pStyle w:val="TableContents"/>
              <w:bidi w:val="0"/>
              <w:spacing w:before="0" w:after="180"/>
              <w:rPr/>
            </w:pPr>
            <w:r>
              <w:rPr/>
              <w:t>April 28, 2026</w:t>
            </w:r>
          </w:p>
        </w:tc>
      </w:tr>
      <w:tr>
        <w:trPr/>
        <w:tc>
          <w:tcPr>
            <w:tcW w:w="1081" w:type="dxa"/>
            <w:tcBorders/>
            <w:vAlign w:val="center"/>
          </w:tcPr>
          <w:p>
            <w:pPr>
              <w:pStyle w:val="TableContents"/>
              <w:bidi w:val="0"/>
              <w:spacing w:before="0" w:after="180"/>
              <w:rPr/>
            </w:pPr>
            <w:r>
              <w:rPr/>
              <w:t>Supervisor</w:t>
            </w:r>
          </w:p>
        </w:tc>
        <w:tc>
          <w:tcPr>
            <w:tcW w:w="1186" w:type="dxa"/>
            <w:tcBorders/>
            <w:vAlign w:val="center"/>
          </w:tcPr>
          <w:p>
            <w:pPr>
              <w:pStyle w:val="TableContents"/>
              <w:bidi w:val="0"/>
              <w:spacing w:before="0" w:after="180"/>
              <w:rPr/>
            </w:pPr>
            <w:r>
              <w:rPr/>
              <w:t>A. Thorne, Operations Manager</w:t>
            </w:r>
          </w:p>
        </w:tc>
        <w:tc>
          <w:tcPr>
            <w:tcW w:w="1156" w:type="dxa"/>
            <w:tcBorders/>
            <w:vAlign w:val="center"/>
          </w:tcPr>
          <w:p>
            <w:pPr>
              <w:pStyle w:val="TableContents"/>
              <w:bidi w:val="0"/>
              <w:spacing w:before="0" w:after="180"/>
              <w:rPr/>
            </w:pPr>
            <w:r>
              <w:rPr/>
              <w:t>Review Status</w:t>
            </w:r>
          </w:p>
        </w:tc>
        <w:tc>
          <w:tcPr>
            <w:tcW w:w="1126" w:type="dxa"/>
            <w:tcBorders/>
            <w:vAlign w:val="center"/>
          </w:tcPr>
          <w:p>
            <w:pPr>
              <w:pStyle w:val="TableContents"/>
              <w:bidi w:val="0"/>
              <w:spacing w:before="0" w:after="180"/>
              <w:rPr/>
            </w:pPr>
            <w:r>
              <w:rPr/>
              <w:t>Finalized</w:t>
            </w:r>
          </w:p>
        </w:tc>
      </w:tr>
    </w:tbl>
    <w:p>
      <w:pPr>
        <w:pStyle w:val="Heading2"/>
        <w:bidi w:val="0"/>
        <w:jc w:val="start"/>
        <w:rPr/>
      </w:pPr>
      <w:r>
        <w:rPr/>
        <w:t>1. Overall Summary</w:t>
      </w:r>
    </w:p>
    <w:p>
      <w:pPr>
        <w:pStyle w:val="BodyText"/>
        <w:bidi w:val="0"/>
        <w:rPr/>
      </w:pPr>
      <w:r>
        <w:rPr/>
        <w:t>Jordan has been a reliable member of the Customer Operations team and has contributed to day-to-day order fulfillment and customer communication. This review document is used for the quarterly performance evaluation and must be completed before the next review cycle. Throughout the second quarter of 2026, Jordan demonstrated a strong commitment to operational efficiency, maintaining a high level of accuracy in order processing and fostering positive relationships with internal stakeholders and external clients alike.</w:t>
      </w:r>
    </w:p>
    <w:p>
      <w:pPr>
        <w:pStyle w:val="Heading2"/>
        <w:bidi w:val="0"/>
        <w:jc w:val="start"/>
        <w:rPr/>
      </w:pPr>
      <w:r>
        <w:rPr/>
        <w:t>2. Core Responsibilities</w:t>
      </w:r>
    </w:p>
    <w:p>
      <w:pPr>
        <w:pStyle w:val="BodyText"/>
        <w:numPr>
          <w:ilvl w:val="0"/>
          <w:numId w:val="1"/>
        </w:numPr>
        <w:tabs>
          <w:tab w:val="clear" w:pos="1134"/>
          <w:tab w:val="left" w:pos="709" w:leader="none"/>
        </w:tabs>
        <w:bidi w:val="0"/>
        <w:spacing w:before="0" w:after="0"/>
        <w:ind w:hanging="283" w:start="709"/>
        <w:rPr/>
      </w:pPr>
      <w:r>
        <w:rPr/>
        <w:t xml:space="preserve">Process customer orders and track fulfillment status </w:t>
      </w:r>
    </w:p>
    <w:p>
      <w:pPr>
        <w:pStyle w:val="BodyText"/>
        <w:numPr>
          <w:ilvl w:val="0"/>
          <w:numId w:val="1"/>
        </w:numPr>
        <w:tabs>
          <w:tab w:val="clear" w:pos="1134"/>
          <w:tab w:val="left" w:pos="709" w:leader="none"/>
        </w:tabs>
        <w:bidi w:val="0"/>
        <w:spacing w:before="0" w:after="0"/>
        <w:ind w:hanging="283" w:start="709"/>
        <w:rPr/>
      </w:pPr>
      <w:r>
        <w:rPr/>
        <w:t xml:space="preserve">Coordinate with warehouse and delivery teams </w:t>
      </w:r>
    </w:p>
    <w:p>
      <w:pPr>
        <w:pStyle w:val="BodyText"/>
        <w:numPr>
          <w:ilvl w:val="0"/>
          <w:numId w:val="1"/>
        </w:numPr>
        <w:tabs>
          <w:tab w:val="clear" w:pos="1134"/>
          <w:tab w:val="left" w:pos="709" w:leader="none"/>
        </w:tabs>
        <w:bidi w:val="0"/>
        <w:spacing w:before="0" w:after="0"/>
        <w:ind w:hanging="283" w:start="709"/>
        <w:rPr/>
      </w:pPr>
      <w:r>
        <w:rPr/>
        <w:t xml:space="preserve">Respond to customer inquiries within the same business day </w:t>
      </w:r>
    </w:p>
    <w:p>
      <w:pPr>
        <w:pStyle w:val="BodyText"/>
        <w:numPr>
          <w:ilvl w:val="0"/>
          <w:numId w:val="1"/>
        </w:numPr>
        <w:tabs>
          <w:tab w:val="clear" w:pos="1134"/>
          <w:tab w:val="left" w:pos="709" w:leader="none"/>
        </w:tabs>
        <w:bidi w:val="0"/>
        <w:spacing w:before="0" w:after="0"/>
        <w:ind w:hanging="283" w:start="709"/>
        <w:rPr/>
      </w:pPr>
      <w:r>
        <w:rPr/>
        <w:t xml:space="preserve">Prepare weekly activity summaries for the operations manager </w:t>
      </w:r>
    </w:p>
    <w:p>
      <w:pPr>
        <w:pStyle w:val="BodyText"/>
        <w:numPr>
          <w:ilvl w:val="0"/>
          <w:numId w:val="1"/>
        </w:numPr>
        <w:tabs>
          <w:tab w:val="clear" w:pos="1134"/>
          <w:tab w:val="left" w:pos="709" w:leader="none"/>
        </w:tabs>
        <w:bidi w:val="0"/>
        <w:spacing w:before="0" w:after="0"/>
        <w:ind w:hanging="283" w:start="709"/>
        <w:rPr/>
      </w:pPr>
      <w:r>
        <w:rPr/>
        <w:t xml:space="preserve">Maintain accurate records of customer interactions in the CRM system </w:t>
      </w:r>
    </w:p>
    <w:p>
      <w:pPr>
        <w:pStyle w:val="BodyText"/>
        <w:numPr>
          <w:ilvl w:val="0"/>
          <w:numId w:val="1"/>
        </w:numPr>
        <w:tabs>
          <w:tab w:val="clear" w:pos="1134"/>
          <w:tab w:val="left" w:pos="709" w:leader="none"/>
        </w:tabs>
        <w:bidi w:val="0"/>
        <w:ind w:hanging="283" w:start="709"/>
        <w:rPr/>
      </w:pPr>
      <w:r>
        <w:rPr/>
        <w:t xml:space="preserve">Assist in the resolution of complex shipping discrepancies </w:t>
      </w:r>
    </w:p>
    <w:p>
      <w:pPr>
        <w:pStyle w:val="Heading2"/>
        <w:bidi w:val="0"/>
        <w:jc w:val="start"/>
        <w:rPr/>
      </w:pPr>
      <w:r>
        <w:rPr/>
        <w:t>3. Performance Rating</w:t>
      </w:r>
    </w:p>
    <w:p>
      <w:pPr>
        <w:pStyle w:val="BodyText"/>
        <w:bidi w:val="0"/>
        <w:spacing w:before="150" w:after="150"/>
        <w:ind w:hanging="0" w:start="150" w:end="150"/>
        <w:rPr>
          <w:b/>
          <w:bdr w:val="single" w:sz="2" w:space="8" w:color="4CAF50"/>
          <w:shd w:fill="E8F5E9" w:val="clear"/>
        </w:rPr>
      </w:pPr>
      <w:r>
        <w:rPr>
          <w:b/>
          <w:bdr w:val="single" w:sz="2" w:space="8" w:color="4CAF50"/>
          <w:shd w:fill="E8F5E9" w:val="clear"/>
        </w:rPr>
        <w:t xml:space="preserve">Current Rating: Excellent </w:t>
      </w:r>
    </w:p>
    <w:p>
      <w:pPr>
        <w:pStyle w:val="BodyText"/>
        <w:bidi w:val="0"/>
        <w:rPr/>
      </w:pPr>
      <w:r>
        <w:rPr/>
        <w:t>Jordan’s performance exceeds the standard expectations for the Operations Coordinator role. The rating reflects consistent adherence to service level agreements and proactive problem-solving capabilities observed during the review period.</w:t>
      </w:r>
    </w:p>
    <w:p>
      <w:pPr>
        <w:pStyle w:val="Heading2"/>
        <w:bidi w:val="0"/>
        <w:jc w:val="start"/>
        <w:rPr/>
      </w:pPr>
      <w:r>
        <w:rPr/>
        <w:t>4. Observations and Notes</w:t>
      </w:r>
    </w:p>
    <w:p>
      <w:pPr>
        <w:pStyle w:val="BodyText"/>
        <w:numPr>
          <w:ilvl w:val="0"/>
          <w:numId w:val="2"/>
        </w:numPr>
        <w:tabs>
          <w:tab w:val="clear" w:pos="1134"/>
          <w:tab w:val="left" w:pos="709" w:leader="none"/>
        </w:tabs>
        <w:bidi w:val="0"/>
        <w:spacing w:before="0" w:after="0"/>
        <w:ind w:hanging="283" w:start="709"/>
        <w:rPr/>
      </w:pPr>
      <w:r>
        <w:rPr/>
        <w:t xml:space="preserve">Maintains consistent communication with customers </w:t>
      </w:r>
    </w:p>
    <w:p>
      <w:pPr>
        <w:pStyle w:val="BodyText"/>
        <w:numPr>
          <w:ilvl w:val="0"/>
          <w:numId w:val="2"/>
        </w:numPr>
        <w:tabs>
          <w:tab w:val="clear" w:pos="1134"/>
          <w:tab w:val="left" w:pos="709" w:leader="none"/>
        </w:tabs>
        <w:bidi w:val="0"/>
        <w:spacing w:before="0" w:after="0"/>
        <w:ind w:hanging="283" w:start="709"/>
        <w:rPr/>
      </w:pPr>
      <w:r>
        <w:rPr/>
        <w:t xml:space="preserve">Completes routine order processing without escalation </w:t>
      </w:r>
    </w:p>
    <w:p>
      <w:pPr>
        <w:pStyle w:val="BodyText"/>
        <w:numPr>
          <w:ilvl w:val="0"/>
          <w:numId w:val="2"/>
        </w:numPr>
        <w:tabs>
          <w:tab w:val="clear" w:pos="1134"/>
          <w:tab w:val="left" w:pos="709" w:leader="none"/>
        </w:tabs>
        <w:bidi w:val="0"/>
        <w:spacing w:before="0" w:after="0"/>
        <w:ind w:hanging="283" w:start="709"/>
        <w:rPr/>
      </w:pPr>
      <w:r>
        <w:rPr/>
        <w:t xml:space="preserve">Participates in team meetings and shared handoffs </w:t>
      </w:r>
    </w:p>
    <w:p>
      <w:pPr>
        <w:pStyle w:val="BodyText"/>
        <w:numPr>
          <w:ilvl w:val="0"/>
          <w:numId w:val="2"/>
        </w:numPr>
        <w:tabs>
          <w:tab w:val="clear" w:pos="1134"/>
          <w:tab w:val="left" w:pos="709" w:leader="none"/>
        </w:tabs>
        <w:bidi w:val="0"/>
        <w:spacing w:before="0" w:after="0"/>
        <w:ind w:hanging="283" w:start="709"/>
        <w:rPr/>
      </w:pPr>
      <w:r>
        <w:rPr/>
        <w:t xml:space="preserve">Supports onboarding of new team members during busy periods </w:t>
      </w:r>
    </w:p>
    <w:p>
      <w:pPr>
        <w:pStyle w:val="BodyText"/>
        <w:numPr>
          <w:ilvl w:val="0"/>
          <w:numId w:val="2"/>
        </w:numPr>
        <w:tabs>
          <w:tab w:val="clear" w:pos="1134"/>
          <w:tab w:val="left" w:pos="709" w:leader="none"/>
        </w:tabs>
        <w:bidi w:val="0"/>
        <w:ind w:hanging="283" w:start="709"/>
        <w:rPr/>
      </w:pPr>
      <w:r>
        <w:rPr/>
        <w:t xml:space="preserve">Has shown initiative in streamlining the weekly reporting format, saving approximately two hours of administrative time per week </w:t>
      </w:r>
    </w:p>
    <w:p>
      <w:pPr>
        <w:pStyle w:val="Heading2"/>
        <w:bidi w:val="0"/>
        <w:jc w:val="start"/>
        <w:rPr/>
      </w:pPr>
      <w:r>
        <w:rPr/>
        <w:t>5. Goals for Next Quarter</w:t>
      </w:r>
    </w:p>
    <w:p>
      <w:pPr>
        <w:pStyle w:val="BodyText"/>
        <w:numPr>
          <w:ilvl w:val="0"/>
          <w:numId w:val="3"/>
        </w:numPr>
        <w:tabs>
          <w:tab w:val="clear" w:pos="1134"/>
          <w:tab w:val="left" w:pos="709" w:leader="none"/>
        </w:tabs>
        <w:bidi w:val="0"/>
        <w:spacing w:before="0" w:after="0"/>
        <w:ind w:hanging="283" w:start="709"/>
        <w:rPr/>
      </w:pPr>
      <w:r>
        <w:rPr/>
        <w:t xml:space="preserve">Continue maintaining response-time targets </w:t>
      </w:r>
    </w:p>
    <w:p>
      <w:pPr>
        <w:pStyle w:val="BodyText"/>
        <w:numPr>
          <w:ilvl w:val="0"/>
          <w:numId w:val="3"/>
        </w:numPr>
        <w:tabs>
          <w:tab w:val="clear" w:pos="1134"/>
          <w:tab w:val="left" w:pos="709" w:leader="none"/>
        </w:tabs>
        <w:bidi w:val="0"/>
        <w:spacing w:before="0" w:after="0"/>
        <w:ind w:hanging="283" w:start="709"/>
        <w:rPr/>
      </w:pPr>
      <w:r>
        <w:rPr/>
        <w:t xml:space="preserve">Improve documentation of customer follow-ups </w:t>
      </w:r>
    </w:p>
    <w:p>
      <w:pPr>
        <w:pStyle w:val="BodyText"/>
        <w:numPr>
          <w:ilvl w:val="0"/>
          <w:numId w:val="3"/>
        </w:numPr>
        <w:tabs>
          <w:tab w:val="clear" w:pos="1134"/>
          <w:tab w:val="left" w:pos="709" w:leader="none"/>
        </w:tabs>
        <w:bidi w:val="0"/>
        <w:spacing w:before="0" w:after="0"/>
        <w:ind w:hanging="283" w:start="709"/>
        <w:rPr/>
      </w:pPr>
      <w:r>
        <w:rPr/>
        <w:t xml:space="preserve">Support the new inventory tracking process during rollout </w:t>
      </w:r>
    </w:p>
    <w:p>
      <w:pPr>
        <w:pStyle w:val="BodyText"/>
        <w:numPr>
          <w:ilvl w:val="0"/>
          <w:numId w:val="3"/>
        </w:numPr>
        <w:tabs>
          <w:tab w:val="clear" w:pos="1134"/>
          <w:tab w:val="left" w:pos="709" w:leader="none"/>
        </w:tabs>
        <w:bidi w:val="0"/>
        <w:ind w:hanging="283" w:start="709"/>
        <w:rPr/>
      </w:pPr>
      <w:r>
        <w:rPr/>
        <w:t xml:space="preserve">Complete advanced training in the new logistics software platform by end of Q3 </w:t>
      </w:r>
    </w:p>
    <w:p>
      <w:pPr>
        <w:pStyle w:val="Heading2"/>
        <w:bidi w:val="0"/>
        <w:jc w:val="start"/>
        <w:rPr/>
      </w:pPr>
      <w:r>
        <w:rPr/>
        <w:t>6. Reviewer Information</w:t>
      </w:r>
    </w:p>
    <w:p>
      <w:pPr>
        <w:pStyle w:val="BodyText"/>
        <w:bidi w:val="0"/>
        <w:rPr/>
      </w:pPr>
      <w:r>
        <w:rPr>
          <w:rStyle w:val="Strong"/>
        </w:rPr>
        <w:t>Prepared by:</w:t>
      </w:r>
      <w:r>
        <w:rPr/>
        <w:t xml:space="preserve"> Operations Review Committee</w:t>
      </w:r>
    </w:p>
    <w:p>
      <w:pPr>
        <w:pStyle w:val="BodyText"/>
        <w:bidi w:val="0"/>
        <w:rPr/>
      </w:pPr>
      <w:r>
        <w:rPr>
          <w:rStyle w:val="Strong"/>
        </w:rPr>
        <w:t>Classification:</w:t>
      </w:r>
      <w:r>
        <w:rPr/>
        <w:t xml:space="preserve"> Internal Personnel Record</w:t>
      </w:r>
    </w:p>
    <w:p>
      <w:pPr>
        <w:pStyle w:val="BodyText"/>
        <w:bidi w:val="0"/>
        <w:rPr/>
      </w:pPr>
      <w:r>
        <w:rPr>
          <w:rStyle w:val="Strong"/>
        </w:rPr>
        <w:t>Date of Submission:</w:t>
      </w:r>
      <w:r>
        <w:rPr/>
        <w:t xml:space="preserve"> April 28, 2026</w:t>
      </w:r>
    </w:p>
    <w:p>
      <w:pPr>
        <w:pStyle w:val="Heading2"/>
        <w:bidi w:val="0"/>
        <w:jc w:val="start"/>
        <w:rPr/>
      </w:pPr>
      <w:r>
        <w:rPr/>
        <w:t>7. Document Administration</w:t>
      </w:r>
    </w:p>
    <w:p>
      <w:pPr>
        <w:pStyle w:val="BodyText"/>
        <w:bidi w:val="0"/>
        <w:rPr/>
      </w:pPr>
      <w:r>
        <w:rPr/>
        <w:t>This file is a controlled personnel record used for quarterly evaluation. It should remain in the shared operations folder and be updated only by authorized reviewers. The final version must be saved with the same filename so the workflow archive remains intact. Any amendments to this document must be logged in the revision history section below.</w:t>
      </w:r>
    </w:p>
    <w:tbl>
      <w:tblPr>
        <w:tblW w:w="4549" w:type="dxa"/>
        <w:jc w:val="start"/>
        <w:tblInd w:w="0" w:type="dxa"/>
        <w:tblLayout w:type="fixed"/>
        <w:tblCellMar>
          <w:top w:w="28" w:type="dxa"/>
          <w:start w:w="28" w:type="dxa"/>
          <w:bottom w:w="28" w:type="dxa"/>
          <w:end w:w="28" w:type="dxa"/>
        </w:tblCellMar>
      </w:tblPr>
      <w:tblGrid>
        <w:gridCol w:w="826"/>
        <w:gridCol w:w="973"/>
        <w:gridCol w:w="1456"/>
        <w:gridCol w:w="1294"/>
      </w:tblGrid>
      <w:tr>
        <w:trPr/>
        <w:tc>
          <w:tcPr>
            <w:tcW w:w="826" w:type="dxa"/>
            <w:tcBorders/>
            <w:vAlign w:val="center"/>
          </w:tcPr>
          <w:p>
            <w:pPr>
              <w:pStyle w:val="TableContents"/>
              <w:bidi w:val="0"/>
              <w:spacing w:before="0" w:after="180"/>
              <w:rPr/>
            </w:pPr>
            <w:r>
              <w:rPr/>
              <w:t>Version</w:t>
            </w:r>
          </w:p>
        </w:tc>
        <w:tc>
          <w:tcPr>
            <w:tcW w:w="973" w:type="dxa"/>
            <w:tcBorders/>
            <w:vAlign w:val="center"/>
          </w:tcPr>
          <w:p>
            <w:pPr>
              <w:pStyle w:val="TableContents"/>
              <w:bidi w:val="0"/>
              <w:spacing w:before="0" w:after="180"/>
              <w:rPr/>
            </w:pPr>
            <w:r>
              <w:rPr/>
              <w:t>Date</w:t>
            </w:r>
          </w:p>
        </w:tc>
        <w:tc>
          <w:tcPr>
            <w:tcW w:w="1456" w:type="dxa"/>
            <w:tcBorders/>
            <w:vAlign w:val="center"/>
          </w:tcPr>
          <w:p>
            <w:pPr>
              <w:pStyle w:val="TableContents"/>
              <w:bidi w:val="0"/>
              <w:spacing w:before="0" w:after="180"/>
              <w:rPr/>
            </w:pPr>
            <w:r>
              <w:rPr/>
              <w:t>Author</w:t>
            </w:r>
          </w:p>
        </w:tc>
        <w:tc>
          <w:tcPr>
            <w:tcW w:w="1294" w:type="dxa"/>
            <w:tcBorders/>
            <w:vAlign w:val="center"/>
          </w:tcPr>
          <w:p>
            <w:pPr>
              <w:pStyle w:val="TableContents"/>
              <w:bidi w:val="0"/>
              <w:spacing w:before="0" w:after="180"/>
              <w:rPr/>
            </w:pPr>
            <w:r>
              <w:rPr/>
              <w:t>Changes</w:t>
            </w:r>
          </w:p>
        </w:tc>
      </w:tr>
      <w:tr>
        <w:trPr/>
        <w:tc>
          <w:tcPr>
            <w:tcW w:w="826" w:type="dxa"/>
            <w:tcBorders/>
            <w:vAlign w:val="center"/>
          </w:tcPr>
          <w:p>
            <w:pPr>
              <w:pStyle w:val="TableContents"/>
              <w:bidi w:val="0"/>
              <w:spacing w:before="0" w:after="180"/>
              <w:rPr/>
            </w:pPr>
            <w:r>
              <w:rPr/>
              <w:t>1.0</w:t>
            </w:r>
          </w:p>
        </w:tc>
        <w:tc>
          <w:tcPr>
            <w:tcW w:w="973" w:type="dxa"/>
            <w:tcBorders/>
            <w:vAlign w:val="center"/>
          </w:tcPr>
          <w:p>
            <w:pPr>
              <w:pStyle w:val="TableContents"/>
              <w:bidi w:val="0"/>
              <w:spacing w:before="0" w:after="180"/>
              <w:rPr/>
            </w:pPr>
            <w:r>
              <w:rPr/>
              <w:t>Apr 28, 2026</w:t>
            </w:r>
          </w:p>
        </w:tc>
        <w:tc>
          <w:tcPr>
            <w:tcW w:w="1456" w:type="dxa"/>
            <w:tcBorders/>
            <w:vAlign w:val="center"/>
          </w:tcPr>
          <w:p>
            <w:pPr>
              <w:pStyle w:val="TableContents"/>
              <w:bidi w:val="0"/>
              <w:spacing w:before="0" w:after="180"/>
              <w:rPr/>
            </w:pPr>
            <w:r>
              <w:rPr/>
              <w:t>Ops Review Comm.</w:t>
            </w:r>
          </w:p>
        </w:tc>
        <w:tc>
          <w:tcPr>
            <w:tcW w:w="1294" w:type="dxa"/>
            <w:tcBorders/>
            <w:vAlign w:val="center"/>
          </w:tcPr>
          <w:p>
            <w:pPr>
              <w:pStyle w:val="TableContents"/>
              <w:bidi w:val="0"/>
              <w:spacing w:before="0" w:after="180"/>
              <w:rPr/>
            </w:pPr>
            <w:r>
              <w:rPr/>
              <w:t>Initial Draft</w:t>
            </w:r>
          </w:p>
        </w:tc>
      </w:tr>
      <w:tr>
        <w:trPr/>
        <w:tc>
          <w:tcPr>
            <w:tcW w:w="826" w:type="dxa"/>
            <w:tcBorders/>
            <w:vAlign w:val="center"/>
          </w:tcPr>
          <w:p>
            <w:pPr>
              <w:pStyle w:val="TableContents"/>
              <w:bidi w:val="0"/>
              <w:spacing w:before="0" w:after="180"/>
              <w:rPr/>
            </w:pPr>
            <w:r>
              <w:rPr/>
              <w:t>1.1</w:t>
            </w:r>
          </w:p>
        </w:tc>
        <w:tc>
          <w:tcPr>
            <w:tcW w:w="973" w:type="dxa"/>
            <w:tcBorders/>
            <w:vAlign w:val="center"/>
          </w:tcPr>
          <w:p>
            <w:pPr>
              <w:pStyle w:val="TableContents"/>
              <w:bidi w:val="0"/>
              <w:spacing w:before="0" w:after="180"/>
              <w:rPr/>
            </w:pPr>
            <w:r>
              <w:rPr/>
              <w:t>Apr 28, 2026</w:t>
            </w:r>
          </w:p>
        </w:tc>
        <w:tc>
          <w:tcPr>
            <w:tcW w:w="1456" w:type="dxa"/>
            <w:tcBorders/>
            <w:vAlign w:val="center"/>
          </w:tcPr>
          <w:p>
            <w:pPr>
              <w:pStyle w:val="TableContents"/>
              <w:bidi w:val="0"/>
              <w:spacing w:before="0" w:after="180"/>
              <w:rPr/>
            </w:pPr>
            <w:r>
              <w:rPr/>
              <w:t>Ops Review Comm.</w:t>
            </w:r>
          </w:p>
        </w:tc>
        <w:tc>
          <w:tcPr>
            <w:tcW w:w="1294" w:type="dxa"/>
            <w:tcBorders/>
            <w:vAlign w:val="center"/>
          </w:tcPr>
          <w:p>
            <w:pPr>
              <w:pStyle w:val="TableContents"/>
              <w:bidi w:val="0"/>
              <w:spacing w:before="0" w:after="180"/>
              <w:rPr/>
            </w:pPr>
            <w:r>
              <w:rPr/>
              <w:t>Final Approval</w:t>
            </w:r>
          </w:p>
        </w:tc>
      </w:tr>
    </w:tbl>
    <w:p>
      <w:pPr>
        <w:pStyle w:val="Heading2"/>
        <w:keepLines/>
        <w:bidi w:val="0"/>
        <w:spacing w:before="600" w:after="180"/>
        <w:ind w:hanging="0" w:start="0" w:end="0"/>
        <w:jc w:val="start"/>
        <w:rPr/>
      </w:pPr>
      <w:r>
        <w:rPr/>
        <w:t>8. Acknowledgment</w:t>
      </w:r>
    </w:p>
    <w:p>
      <w:pPr>
        <w:pStyle w:val="BodyText"/>
        <w:keepLines/>
        <w:bidi w:val="0"/>
        <w:spacing w:before="600" w:after="180"/>
        <w:rPr/>
      </w:pPr>
      <w:r>
        <w:rPr/>
        <w:t>By signing below, the employee acknowledges receipt of this performance review and agrees to discuss the contents with their supervisor.</w:t>
      </w:r>
    </w:p>
    <w:p>
      <w:pPr>
        <w:pStyle w:val="BodyText"/>
        <w:keepLines/>
        <w:bidi w:val="0"/>
        <w:spacing w:before="450" w:after="180"/>
        <w:ind w:hanging="0" w:start="0" w:end="0"/>
        <w:rPr>
          <w:sz w:val="20"/>
          <w:bdr w:val="single" w:sz="2" w:space="4" w:color="000000"/>
        </w:rPr>
      </w:pPr>
      <w:r>
        <w:rPr>
          <w:sz w:val="20"/>
          <w:bdr w:val="single" w:sz="2" w:space="4" w:color="000000"/>
        </w:rPr>
        <w:t xml:space="preserve">Employee Signature </w:t>
      </w:r>
    </w:p>
    <w:p>
      <w:pPr>
        <w:pStyle w:val="BodyText"/>
        <w:keepLines/>
        <w:bidi w:val="0"/>
        <w:spacing w:before="300" w:after="180"/>
        <w:ind w:hanging="0" w:start="0" w:end="0"/>
        <w:rPr>
          <w:sz w:val="20"/>
          <w:bdr w:val="single" w:sz="2" w:space="4" w:color="000000"/>
        </w:rPr>
      </w:pPr>
      <w:r>
        <w:rPr>
          <w:sz w:val="20"/>
          <w:bdr w:val="single" w:sz="2" w:space="4" w:color="000000"/>
        </w:rPr>
        <w:t xml:space="preserve">Date </w:t>
      </w:r>
    </w:p>
    <w:p>
      <w:pPr>
        <w:pStyle w:val="BodyText"/>
        <w:bidi w:val="0"/>
        <w:spacing w:before="750" w:after="180"/>
        <w:ind w:hanging="0" w:start="0" w:end="0"/>
        <w:jc w:val="center"/>
        <w:rPr>
          <w:i/>
          <w:color w:val="666666"/>
          <w:sz w:val="18"/>
          <w:bdr w:val="single" w:sz="12" w:space="11" w:color="2C3E50"/>
        </w:rPr>
      </w:pPr>
      <w:r>
        <w:rPr>
          <w:i/>
          <w:color w:val="666666"/>
          <w:sz w:val="18"/>
          <w:bdr w:val="single" w:sz="12" w:space="11" w:color="2C3E50"/>
        </w:rPr>
        <w:t>© 2026 Meridian Logistics. Internal personnel record — reproduction, redistribution, or external circulation is prohibited. This document contains confidential employment information and may not be shared outside the firm.</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Times New Roman;Times;serif" w:hAnsi="Times New Roman;Times;serif" w:eastAsia="Times New Roman;Times;serif" w:cs="Times New Roman;Times;serif"/>
      <w:color w:val="333333"/>
      <w:sz w:val="22"/>
      <w:szCs w:val="22"/>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pBdr>
        <w:bottom w:val="single" w:sz="2" w:space="4" w:color="CCCCCC"/>
      </w:pBdr>
      <w:spacing w:before="375" w:after="150"/>
      <w:outlineLvl w:val="1"/>
    </w:pPr>
    <w:rPr>
      <w:rFonts w:ascii="Liberation Serif" w:hAnsi="Liberation Serif" w:eastAsia="Noto Serif CJK SC" w:cs="Noto Sans Devanagari"/>
      <w:b/>
      <w:bCs/>
      <w:color w:val="2C3E50"/>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Employee Performance Review - Jordan Lee</dc:title>
</cp:coreProperties>
</file>

<file path=docProps/custom.xml><?xml version="1.0" encoding="utf-8"?>
<Properties xmlns="http://schemas.openxmlformats.org/officeDocument/2006/custom-properties" xmlns:vt="http://schemas.openxmlformats.org/officeDocument/2006/docPropsVTypes"/>
</file>