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0" w:after="300"/>
        <w:ind w:hanging="0" w:start="0" w:end="0"/>
        <w:jc w:val="center"/>
        <w:rPr>
          <w:bdr w:val="single" w:sz="12" w:space="8" w:color="000000"/>
        </w:rPr>
      </w:pPr>
      <w:r>
        <w:rPr>
          <w:bdr w:val="single" w:sz="12" w:space="8" w:color="000000"/>
        </w:rPr>
        <w:t>Office of Professional Standards</w:t>
      </w:r>
    </w:p>
    <w:p>
      <w:pPr>
        <w:pStyle w:val="BodyText"/>
        <w:bidi w:val="0"/>
        <w:spacing w:before="0" w:after="300"/>
        <w:jc w:val="center"/>
        <w:rPr>
          <w:bdr w:val="single" w:sz="12" w:space="8" w:color="000000"/>
        </w:rPr>
      </w:pPr>
      <w:r>
        <w:rPr>
          <w:bdr w:val="single" w:sz="12" w:space="8" w:color="000000"/>
        </w:rPr>
        <w:t>Draft — pending review</w:t>
      </w:r>
    </w:p>
    <w:tbl>
      <w:tblPr>
        <w:tblW w:w="6737" w:type="dxa"/>
        <w:jc w:val="start"/>
        <w:tblInd w:w="0" w:type="dxa"/>
        <w:tblLayout w:type="fixed"/>
        <w:tblCellMar>
          <w:top w:w="28" w:type="dxa"/>
          <w:start w:w="28" w:type="dxa"/>
          <w:bottom w:w="28" w:type="dxa"/>
          <w:end w:w="28" w:type="dxa"/>
        </w:tblCellMar>
      </w:tblPr>
      <w:tblGrid>
        <w:gridCol w:w="2087"/>
        <w:gridCol w:w="4650"/>
      </w:tblGrid>
      <w:tr>
        <w:trPr/>
        <w:tc>
          <w:tcPr>
            <w:tcW w:w="2087" w:type="dxa"/>
            <w:tcBorders/>
            <w:vAlign w:val="center"/>
          </w:tcPr>
          <w:p>
            <w:pPr>
              <w:pStyle w:val="TableContents"/>
              <w:bidi w:val="0"/>
              <w:spacing w:before="0" w:after="283"/>
              <w:jc w:val="start"/>
              <w:rPr/>
            </w:pPr>
            <w:r>
              <w:rPr/>
              <w:t>To:</w:t>
            </w:r>
          </w:p>
        </w:tc>
        <w:tc>
          <w:tcPr>
            <w:tcW w:w="4650" w:type="dxa"/>
            <w:tcBorders/>
            <w:vAlign w:val="center"/>
          </w:tcPr>
          <w:p>
            <w:pPr>
              <w:pStyle w:val="TableContents"/>
              <w:bidi w:val="0"/>
              <w:spacing w:before="0" w:after="283"/>
              <w:jc w:val="start"/>
              <w:rPr/>
            </w:pPr>
            <w:r>
              <w:rPr/>
              <w:t>State Board of Medicine, Professional Conduct Division</w:t>
            </w:r>
          </w:p>
        </w:tc>
      </w:tr>
      <w:tr>
        <w:trPr/>
        <w:tc>
          <w:tcPr>
            <w:tcW w:w="2087" w:type="dxa"/>
            <w:tcBorders/>
            <w:vAlign w:val="center"/>
          </w:tcPr>
          <w:p>
            <w:pPr>
              <w:pStyle w:val="TableContents"/>
              <w:bidi w:val="0"/>
              <w:spacing w:before="0" w:after="283"/>
              <w:jc w:val="start"/>
              <w:rPr/>
            </w:pPr>
            <w:r>
              <w:rPr/>
              <w:t>From:</w:t>
            </w:r>
          </w:p>
        </w:tc>
        <w:tc>
          <w:tcPr>
            <w:tcW w:w="4650" w:type="dxa"/>
            <w:tcBorders/>
            <w:vAlign w:val="center"/>
          </w:tcPr>
          <w:p>
            <w:pPr>
              <w:pStyle w:val="TableContents"/>
              <w:bidi w:val="0"/>
              <w:spacing w:before="0" w:after="283"/>
              <w:jc w:val="start"/>
              <w:rPr/>
            </w:pPr>
            <w:r>
              <w:rPr/>
              <w:t>Dr. Alan Reyes, Staff Physician, Riverside Community Hospital</w:t>
            </w:r>
          </w:p>
        </w:tc>
      </w:tr>
      <w:tr>
        <w:trPr/>
        <w:tc>
          <w:tcPr>
            <w:tcW w:w="2087" w:type="dxa"/>
            <w:tcBorders/>
            <w:vAlign w:val="center"/>
          </w:tcPr>
          <w:p>
            <w:pPr>
              <w:pStyle w:val="TableContents"/>
              <w:bidi w:val="0"/>
              <w:spacing w:before="0" w:after="283"/>
              <w:jc w:val="start"/>
              <w:rPr/>
            </w:pPr>
            <w:r>
              <w:rPr/>
              <w:t>Date:</w:t>
            </w:r>
          </w:p>
        </w:tc>
        <w:tc>
          <w:tcPr>
            <w:tcW w:w="4650" w:type="dxa"/>
            <w:tcBorders/>
            <w:vAlign w:val="center"/>
          </w:tcPr>
          <w:p>
            <w:pPr>
              <w:pStyle w:val="TableContents"/>
              <w:bidi w:val="0"/>
              <w:spacing w:before="0" w:after="283"/>
              <w:jc w:val="start"/>
              <w:rPr/>
            </w:pPr>
            <w:r>
              <w:rPr/>
              <w:t>[DATE]</w:t>
            </w:r>
          </w:p>
        </w:tc>
      </w:tr>
      <w:tr>
        <w:trPr/>
        <w:tc>
          <w:tcPr>
            <w:tcW w:w="2087" w:type="dxa"/>
            <w:tcBorders/>
            <w:vAlign w:val="center"/>
          </w:tcPr>
          <w:p>
            <w:pPr>
              <w:pStyle w:val="TableContents"/>
              <w:bidi w:val="0"/>
              <w:spacing w:before="0" w:after="283"/>
              <w:jc w:val="start"/>
              <w:rPr/>
            </w:pPr>
            <w:r>
              <w:rPr/>
              <w:t>Re:</w:t>
            </w:r>
          </w:p>
        </w:tc>
        <w:tc>
          <w:tcPr>
            <w:tcW w:w="4650" w:type="dxa"/>
            <w:tcBorders/>
            <w:vAlign w:val="center"/>
          </w:tcPr>
          <w:p>
            <w:pPr>
              <w:pStyle w:val="TableContents"/>
              <w:bidi w:val="0"/>
              <w:spacing w:before="0" w:after="283"/>
              <w:jc w:val="start"/>
              <w:rPr/>
            </w:pPr>
            <w:r>
              <w:rPr/>
              <w:t>Referral regarding [PRACTITIONER_NAME]</w:t>
            </w:r>
          </w:p>
        </w:tc>
      </w:tr>
    </w:tbl>
    <w:p>
      <w:pPr>
        <w:pStyle w:val="BodyText"/>
        <w:bidi w:val="0"/>
        <w:jc w:val="start"/>
        <w:rPr/>
      </w:pPr>
      <w:r>
        <w:rPr/>
        <w:t>To Whom It May Concern:</w:t>
      </w:r>
    </w:p>
    <w:p>
      <w:pPr>
        <w:pStyle w:val="BodyText"/>
        <w:bidi w:val="0"/>
        <w:jc w:val="start"/>
        <w:rPr/>
      </w:pPr>
      <w:r>
        <w:rPr/>
        <w:t>I am writing to submit a professional-conduct referral concerning the clinical practices of [PRACTITIONER_NAME], a physician at [PRACTITIONER_AFFILIATION]. Based on my direct observations and records from patient encounters during the period [OBSERVATION_PERIOD], I believe the following concerns warrant board review. This referral is submitted in accordance with the hospital's policy on peer reporting and the ethical obligations of licensed practitioners to ensure patient safety.</w:t>
      </w:r>
    </w:p>
    <w:p>
      <w:pPr>
        <w:pStyle w:val="BodyTextsection-heading"/>
        <w:bidi w:val="0"/>
        <w:jc w:val="start"/>
        <w:rPr/>
      </w:pPr>
      <w:r>
        <w:rPr/>
        <w:t>1. Prescribing practices.</w:t>
      </w:r>
    </w:p>
    <w:p>
      <w:pPr>
        <w:pStyle w:val="BodyText"/>
        <w:bidi w:val="0"/>
        <w:jc w:val="start"/>
        <w:rPr/>
      </w:pPr>
      <w:r>
        <w:rPr/>
        <w:t>On [FIRST_ENCOUNTER], the practitioner prescribed [MEDICATION] at a dosage of [DOSAGE] for a patient whose documented history included [PATIENT_CONDITION]. The recommended standard for this presentation is [STANDARD_DOSAGE], and no documented rationale for the deviation was provided. This discrepancy represents a significant deviation from standard pediatric dosing guidelines. Furthermore, on [SECOND_ENCOUNTER], the practitioner prescribed [MEDICATION] again, this time combined with [SECOND_MEDICATION], despite a documented allergy entry for [ALLERGY] in the chart. The combination of these agents, particularly in the context of a known allergy, raises serious concerns regarding medication safety protocols and chart review procedures.</w:t>
      </w:r>
    </w:p>
    <w:p>
      <w:pPr>
        <w:pStyle w:val="BodyTextsection-heading"/>
        <w:bidi w:val="0"/>
        <w:jc w:val="start"/>
        <w:rPr/>
      </w:pPr>
      <w:r>
        <w:rPr/>
        <w:t>2. Patient monitoring.</w:t>
      </w:r>
    </w:p>
    <w:p>
      <w:pPr>
        <w:pStyle w:val="BodyText"/>
        <w:bidi w:val="0"/>
        <w:jc w:val="start"/>
        <w:rPr/>
      </w:pPr>
      <w:r>
        <w:rPr/>
        <w:t>During the [OBSERVATION_PERIOD], follow-up visits were not scheduled within the interval described in the clinic's own standard, and the practitioner's notes do not record any adverse-effect check. This lack of follow-up is particularly concerning given the nature of the prescribed medications. On [THIRD_ENCOUNTER], the patient reported [SYMPTOM], and the practitioner's response was documented as [DOCUMENTED_RESPONSE]. Given the severity of the reported symptoms, the decision to discharge the patient without further evaluation or referral appears inconsistent with standard of care for pediatric patients exhibiting signs of systemic illness.</w:t>
      </w:r>
    </w:p>
    <w:p>
      <w:pPr>
        <w:pStyle w:val="BodyTextsection-heading"/>
        <w:bidi w:val="0"/>
        <w:jc w:val="start"/>
        <w:rPr/>
      </w:pPr>
      <w:r>
        <w:rPr/>
        <w:t>3. Documentation.</w:t>
      </w:r>
    </w:p>
    <w:p>
      <w:pPr>
        <w:pStyle w:val="BodyText"/>
        <w:bidi w:val="0"/>
        <w:jc w:val="start"/>
        <w:rPr/>
      </w:pPr>
      <w:r>
        <w:rPr/>
        <w:t>The chart notes for the encounters above were completed after the patient had left, and the practitioner's signature line reads [SIGNATURE_NOTATION]. This practice, often referred to as "charting from memory" or "retroactive charting," compromises the integrity of the medical record and raises questions about the accuracy and timeliness of clinical decision-making. Proper documentation is essential for continuity of care and legal compliance.</w:t>
      </w:r>
    </w:p>
    <w:p>
      <w:pPr>
        <w:pStyle w:val="BodyText"/>
        <w:bidi w:val="0"/>
        <w:jc w:val="start"/>
        <w:rPr/>
      </w:pPr>
      <w:r>
        <w:rPr/>
        <w:t>I have attached the relevant chart excerpts for the board's review. I believe these concerns are consistent and specific enough to warrant investigation. I am available to provide further details or to testify if required by the Division. I request that this matter be handled with the utmost confidentiality, in accordance with state regulations regarding peer referrals.</w:t>
      </w:r>
    </w:p>
    <w:p>
      <w:pPr>
        <w:pStyle w:val="BodyText"/>
        <w:keepLines/>
        <w:bidi w:val="0"/>
        <w:spacing w:before="600" w:after="283"/>
        <w:ind w:hanging="0" w:start="0" w:end="0"/>
        <w:jc w:val="start"/>
        <w:rPr/>
      </w:pPr>
      <w:r>
        <w:rPr/>
        <w:t>Sincerely,</w:t>
      </w:r>
    </w:p>
    <w:p>
      <w:pPr>
        <w:pStyle w:val="BodyText"/>
        <w:keepLines/>
        <w:bidi w:val="0"/>
        <w:spacing w:before="600" w:after="283"/>
        <w:jc w:val="start"/>
        <w:rPr/>
      </w:pPr>
      <w:r>
        <w:rPr/>
        <w:br/>
      </w:r>
    </w:p>
    <w:p>
      <w:pPr>
        <w:pStyle w:val="BodyText"/>
        <w:keepLines/>
        <w:bidi w:val="0"/>
        <w:spacing w:before="600" w:after="283"/>
        <w:ind w:hanging="0" w:start="0" w:end="0"/>
        <w:jc w:val="start"/>
        <w:rPr/>
      </w:pPr>
      <w:r>
        <w:rPr>
          <w:rStyle w:val="Strong"/>
        </w:rPr>
        <w:t>Dr. Alan Reyes</w:t>
      </w:r>
      <w:r>
        <w:rPr/>
        <w:br/>
        <w:t>Staff Physician, Riverside Community Hospital</w:t>
        <w:br/>
        <w:t>License No. [LICENSE_NUMBER]</w:t>
        <w:br/>
        <w:t>Contact: [PHONE_NUMBER] | [EMAIL_ADDRESS]</w:t>
      </w:r>
    </w:p>
    <w:p>
      <w:pPr>
        <w:pStyle w:val="Heading3"/>
        <w:bidi w:val="0"/>
        <w:spacing w:before="600" w:after="283"/>
        <w:ind w:hanging="0" w:start="0" w:end="0"/>
        <w:jc w:val="start"/>
        <w:rPr>
          <w:bdr w:val="single" w:sz="2" w:space="11" w:color="000000"/>
          <w:shd w:fill="F9F9F9" w:val="clear"/>
        </w:rPr>
      </w:pPr>
      <w:r>
        <w:rPr>
          <w:bdr w:val="single" w:sz="2" w:space="11" w:color="000000"/>
          <w:shd w:fill="F9F9F9" w:val="clear"/>
        </w:rPr>
        <w:t>Intake Form — for the drafter's reference only; remove this section before submission</w:t>
      </w:r>
    </w:p>
    <w:tbl>
      <w:tblPr>
        <w:tblW w:w="6737" w:type="dxa"/>
        <w:jc w:val="start"/>
        <w:tblInd w:w="0" w:type="dxa"/>
        <w:tblLayout w:type="fixed"/>
        <w:tblCellMar>
          <w:top w:w="28" w:type="dxa"/>
          <w:start w:w="28" w:type="dxa"/>
          <w:bottom w:w="28" w:type="dxa"/>
          <w:end w:w="28" w:type="dxa"/>
        </w:tblCellMar>
      </w:tblPr>
      <w:tblGrid>
        <w:gridCol w:w="3481"/>
        <w:gridCol w:w="3256"/>
      </w:tblGrid>
      <w:tr>
        <w:trPr/>
        <w:tc>
          <w:tcPr>
            <w:tcW w:w="3481" w:type="dxa"/>
            <w:tcBorders/>
            <w:vAlign w:val="center"/>
          </w:tcPr>
          <w:p>
            <w:pPr>
              <w:pStyle w:val="TableContents"/>
              <w:bidi w:val="0"/>
              <w:spacing w:before="0" w:after="283"/>
              <w:jc w:val="start"/>
              <w:rPr/>
            </w:pPr>
            <w:r>
              <w:rPr/>
              <w:t>[DATE]</w:t>
            </w:r>
          </w:p>
        </w:tc>
        <w:tc>
          <w:tcPr>
            <w:tcW w:w="3256" w:type="dxa"/>
            <w:tcBorders/>
            <w:vAlign w:val="center"/>
          </w:tcPr>
          <w:p>
            <w:pPr>
              <w:pStyle w:val="TableContents"/>
              <w:bidi w:val="0"/>
              <w:spacing w:before="0" w:after="283"/>
              <w:jc w:val="start"/>
              <w:rPr/>
            </w:pPr>
            <w:r>
              <w:rPr/>
              <w:t>February 18, 2026</w:t>
            </w:r>
          </w:p>
        </w:tc>
      </w:tr>
      <w:tr>
        <w:trPr/>
        <w:tc>
          <w:tcPr>
            <w:tcW w:w="3481" w:type="dxa"/>
            <w:tcBorders/>
            <w:vAlign w:val="center"/>
          </w:tcPr>
          <w:p>
            <w:pPr>
              <w:pStyle w:val="TableContents"/>
              <w:bidi w:val="0"/>
              <w:spacing w:before="0" w:after="283"/>
              <w:jc w:val="start"/>
              <w:rPr/>
            </w:pPr>
            <w:r>
              <w:rPr/>
              <w:t>[PRACTITIONER_NAME]</w:t>
            </w:r>
          </w:p>
        </w:tc>
        <w:tc>
          <w:tcPr>
            <w:tcW w:w="3256" w:type="dxa"/>
            <w:tcBorders/>
            <w:vAlign w:val="center"/>
          </w:tcPr>
          <w:p>
            <w:pPr>
              <w:pStyle w:val="TableContents"/>
              <w:bidi w:val="0"/>
              <w:spacing w:before="0" w:after="283"/>
              <w:jc w:val="start"/>
              <w:rPr/>
            </w:pPr>
            <w:r>
              <w:rPr/>
              <w:t>Dr. Emily Carter</w:t>
            </w:r>
          </w:p>
        </w:tc>
      </w:tr>
      <w:tr>
        <w:trPr/>
        <w:tc>
          <w:tcPr>
            <w:tcW w:w="3481" w:type="dxa"/>
            <w:tcBorders/>
            <w:vAlign w:val="center"/>
          </w:tcPr>
          <w:p>
            <w:pPr>
              <w:pStyle w:val="TableContents"/>
              <w:bidi w:val="0"/>
              <w:spacing w:before="0" w:after="283"/>
              <w:jc w:val="start"/>
              <w:rPr/>
            </w:pPr>
            <w:r>
              <w:rPr/>
              <w:t>[PRACTITIONER_AFFILIATION]</w:t>
            </w:r>
          </w:p>
        </w:tc>
        <w:tc>
          <w:tcPr>
            <w:tcW w:w="3256" w:type="dxa"/>
            <w:tcBorders/>
            <w:vAlign w:val="center"/>
          </w:tcPr>
          <w:p>
            <w:pPr>
              <w:pStyle w:val="TableContents"/>
              <w:bidi w:val="0"/>
              <w:spacing w:before="0" w:after="283"/>
              <w:jc w:val="start"/>
              <w:rPr/>
            </w:pPr>
            <w:r>
              <w:rPr/>
              <w:t>Lakeview Pediatric Group</w:t>
            </w:r>
          </w:p>
        </w:tc>
      </w:tr>
      <w:tr>
        <w:trPr/>
        <w:tc>
          <w:tcPr>
            <w:tcW w:w="3481" w:type="dxa"/>
            <w:tcBorders/>
            <w:vAlign w:val="center"/>
          </w:tcPr>
          <w:p>
            <w:pPr>
              <w:pStyle w:val="TableContents"/>
              <w:bidi w:val="0"/>
              <w:spacing w:before="0" w:after="283"/>
              <w:jc w:val="start"/>
              <w:rPr/>
            </w:pPr>
            <w:r>
              <w:rPr/>
              <w:t>[OBSERVATION_PERIOD]</w:t>
            </w:r>
          </w:p>
        </w:tc>
        <w:tc>
          <w:tcPr>
            <w:tcW w:w="3256" w:type="dxa"/>
            <w:tcBorders/>
            <w:vAlign w:val="center"/>
          </w:tcPr>
          <w:p>
            <w:pPr>
              <w:pStyle w:val="TableContents"/>
              <w:bidi w:val="0"/>
              <w:spacing w:before="0" w:after="283"/>
              <w:jc w:val="start"/>
              <w:rPr/>
            </w:pPr>
            <w:r>
              <w:rPr/>
              <w:t>September 2025 through January 2026</w:t>
            </w:r>
          </w:p>
        </w:tc>
      </w:tr>
      <w:tr>
        <w:trPr/>
        <w:tc>
          <w:tcPr>
            <w:tcW w:w="3481" w:type="dxa"/>
            <w:tcBorders/>
            <w:vAlign w:val="center"/>
          </w:tcPr>
          <w:p>
            <w:pPr>
              <w:pStyle w:val="TableContents"/>
              <w:bidi w:val="0"/>
              <w:spacing w:before="0" w:after="283"/>
              <w:jc w:val="start"/>
              <w:rPr/>
            </w:pPr>
            <w:r>
              <w:rPr/>
              <w:t>[FIRST_ENCOUNTER]</w:t>
            </w:r>
          </w:p>
        </w:tc>
        <w:tc>
          <w:tcPr>
            <w:tcW w:w="3256" w:type="dxa"/>
            <w:tcBorders/>
            <w:vAlign w:val="center"/>
          </w:tcPr>
          <w:p>
            <w:pPr>
              <w:pStyle w:val="TableContents"/>
              <w:bidi w:val="0"/>
              <w:spacing w:before="0" w:after="283"/>
              <w:jc w:val="start"/>
              <w:rPr/>
            </w:pPr>
            <w:r>
              <w:rPr/>
              <w:t>September 12, 2025</w:t>
            </w:r>
          </w:p>
        </w:tc>
      </w:tr>
      <w:tr>
        <w:trPr/>
        <w:tc>
          <w:tcPr>
            <w:tcW w:w="3481" w:type="dxa"/>
            <w:tcBorders/>
            <w:vAlign w:val="center"/>
          </w:tcPr>
          <w:p>
            <w:pPr>
              <w:pStyle w:val="TableContents"/>
              <w:bidi w:val="0"/>
              <w:spacing w:before="0" w:after="283"/>
              <w:jc w:val="start"/>
              <w:rPr/>
            </w:pPr>
            <w:r>
              <w:rPr/>
              <w:t>[MEDICATION]</w:t>
            </w:r>
          </w:p>
        </w:tc>
        <w:tc>
          <w:tcPr>
            <w:tcW w:w="3256" w:type="dxa"/>
            <w:tcBorders/>
            <w:vAlign w:val="center"/>
          </w:tcPr>
          <w:p>
            <w:pPr>
              <w:pStyle w:val="TableContents"/>
              <w:bidi w:val="0"/>
              <w:spacing w:before="0" w:after="283"/>
              <w:jc w:val="start"/>
              <w:rPr/>
            </w:pPr>
            <w:r>
              <w:rPr/>
              <w:t>amoxicillin</w:t>
            </w:r>
          </w:p>
        </w:tc>
      </w:tr>
      <w:tr>
        <w:trPr/>
        <w:tc>
          <w:tcPr>
            <w:tcW w:w="3481" w:type="dxa"/>
            <w:tcBorders/>
            <w:vAlign w:val="center"/>
          </w:tcPr>
          <w:p>
            <w:pPr>
              <w:pStyle w:val="TableContents"/>
              <w:bidi w:val="0"/>
              <w:spacing w:before="0" w:after="283"/>
              <w:jc w:val="start"/>
              <w:rPr/>
            </w:pPr>
            <w:r>
              <w:rPr/>
              <w:t>[DOSAGE]</w:t>
            </w:r>
          </w:p>
        </w:tc>
        <w:tc>
          <w:tcPr>
            <w:tcW w:w="3256" w:type="dxa"/>
            <w:tcBorders/>
            <w:vAlign w:val="center"/>
          </w:tcPr>
          <w:p>
            <w:pPr>
              <w:pStyle w:val="TableContents"/>
              <w:bidi w:val="0"/>
              <w:spacing w:before="0" w:after="283"/>
              <w:jc w:val="start"/>
              <w:rPr/>
            </w:pPr>
            <w:r>
              <w:rPr/>
              <w:t>500 mg twice daily</w:t>
            </w:r>
          </w:p>
        </w:tc>
      </w:tr>
      <w:tr>
        <w:trPr/>
        <w:tc>
          <w:tcPr>
            <w:tcW w:w="3481" w:type="dxa"/>
            <w:tcBorders/>
            <w:vAlign w:val="center"/>
          </w:tcPr>
          <w:p>
            <w:pPr>
              <w:pStyle w:val="TableContents"/>
              <w:bidi w:val="0"/>
              <w:spacing w:before="0" w:after="283"/>
              <w:jc w:val="start"/>
              <w:rPr/>
            </w:pPr>
            <w:r>
              <w:rPr/>
              <w:t>[STANDARD_DOSAGE]</w:t>
            </w:r>
          </w:p>
        </w:tc>
        <w:tc>
          <w:tcPr>
            <w:tcW w:w="3256" w:type="dxa"/>
            <w:tcBorders/>
            <w:vAlign w:val="center"/>
          </w:tcPr>
          <w:p>
            <w:pPr>
              <w:pStyle w:val="TableContents"/>
              <w:bidi w:val="0"/>
              <w:spacing w:before="0" w:after="283"/>
              <w:jc w:val="start"/>
              <w:rPr/>
            </w:pPr>
            <w:r>
              <w:rPr/>
              <w:t>250 mg once daily for the documented presentation</w:t>
            </w:r>
          </w:p>
        </w:tc>
      </w:tr>
      <w:tr>
        <w:trPr/>
        <w:tc>
          <w:tcPr>
            <w:tcW w:w="3481" w:type="dxa"/>
            <w:tcBorders/>
            <w:vAlign w:val="center"/>
          </w:tcPr>
          <w:p>
            <w:pPr>
              <w:pStyle w:val="TableContents"/>
              <w:bidi w:val="0"/>
              <w:spacing w:before="0" w:after="283"/>
              <w:jc w:val="start"/>
              <w:rPr/>
            </w:pPr>
            <w:r>
              <w:rPr/>
              <w:t>[PATIENT_CONDITION]</w:t>
            </w:r>
          </w:p>
        </w:tc>
        <w:tc>
          <w:tcPr>
            <w:tcW w:w="3256" w:type="dxa"/>
            <w:tcBorders/>
            <w:vAlign w:val="center"/>
          </w:tcPr>
          <w:p>
            <w:pPr>
              <w:pStyle w:val="TableContents"/>
              <w:bidi w:val="0"/>
              <w:spacing w:before="0" w:after="283"/>
              <w:jc w:val="start"/>
              <w:rPr/>
            </w:pPr>
            <w:r>
              <w:rPr/>
              <w:t>a mild viral upper-respiratory infection in a 6-year-old patient</w:t>
            </w:r>
          </w:p>
        </w:tc>
      </w:tr>
      <w:tr>
        <w:trPr/>
        <w:tc>
          <w:tcPr>
            <w:tcW w:w="3481" w:type="dxa"/>
            <w:tcBorders/>
            <w:vAlign w:val="center"/>
          </w:tcPr>
          <w:p>
            <w:pPr>
              <w:pStyle w:val="TableContents"/>
              <w:bidi w:val="0"/>
              <w:spacing w:before="0" w:after="283"/>
              <w:jc w:val="start"/>
              <w:rPr/>
            </w:pPr>
            <w:r>
              <w:rPr/>
              <w:t>[SECOND_ENCOUNTER]</w:t>
            </w:r>
          </w:p>
        </w:tc>
        <w:tc>
          <w:tcPr>
            <w:tcW w:w="3256" w:type="dxa"/>
            <w:tcBorders/>
            <w:vAlign w:val="center"/>
          </w:tcPr>
          <w:p>
            <w:pPr>
              <w:pStyle w:val="TableContents"/>
              <w:bidi w:val="0"/>
              <w:spacing w:before="0" w:after="283"/>
              <w:jc w:val="start"/>
              <w:rPr/>
            </w:pPr>
            <w:r>
              <w:rPr/>
              <w:t>October 3, 2025</w:t>
            </w:r>
          </w:p>
        </w:tc>
      </w:tr>
      <w:tr>
        <w:trPr/>
        <w:tc>
          <w:tcPr>
            <w:tcW w:w="3481" w:type="dxa"/>
            <w:tcBorders/>
            <w:vAlign w:val="center"/>
          </w:tcPr>
          <w:p>
            <w:pPr>
              <w:pStyle w:val="TableContents"/>
              <w:bidi w:val="0"/>
              <w:spacing w:before="0" w:after="283"/>
              <w:jc w:val="start"/>
              <w:rPr/>
            </w:pPr>
            <w:r>
              <w:rPr/>
              <w:t>[SECOND_MEDICATION]</w:t>
            </w:r>
          </w:p>
        </w:tc>
        <w:tc>
          <w:tcPr>
            <w:tcW w:w="3256" w:type="dxa"/>
            <w:tcBorders/>
            <w:vAlign w:val="center"/>
          </w:tcPr>
          <w:p>
            <w:pPr>
              <w:pStyle w:val="TableContents"/>
              <w:bidi w:val="0"/>
              <w:spacing w:before="0" w:after="283"/>
              <w:jc w:val="start"/>
              <w:rPr/>
            </w:pPr>
            <w:r>
              <w:rPr/>
              <w:t>clindamycin</w:t>
            </w:r>
          </w:p>
        </w:tc>
      </w:tr>
      <w:tr>
        <w:trPr/>
        <w:tc>
          <w:tcPr>
            <w:tcW w:w="3481" w:type="dxa"/>
            <w:tcBorders/>
            <w:vAlign w:val="center"/>
          </w:tcPr>
          <w:p>
            <w:pPr>
              <w:pStyle w:val="TableContents"/>
              <w:bidi w:val="0"/>
              <w:spacing w:before="0" w:after="283"/>
              <w:jc w:val="start"/>
              <w:rPr/>
            </w:pPr>
            <w:r>
              <w:rPr/>
              <w:t>[ALLERGY]</w:t>
            </w:r>
          </w:p>
        </w:tc>
        <w:tc>
          <w:tcPr>
            <w:tcW w:w="3256" w:type="dxa"/>
            <w:tcBorders/>
            <w:vAlign w:val="center"/>
          </w:tcPr>
          <w:p>
            <w:pPr>
              <w:pStyle w:val="TableContents"/>
              <w:bidi w:val="0"/>
              <w:spacing w:before="0" w:after="283"/>
              <w:jc w:val="start"/>
              <w:rPr/>
            </w:pPr>
            <w:r>
              <w:rPr/>
              <w:t>penicillin</w:t>
            </w:r>
          </w:p>
        </w:tc>
      </w:tr>
      <w:tr>
        <w:trPr/>
        <w:tc>
          <w:tcPr>
            <w:tcW w:w="3481" w:type="dxa"/>
            <w:tcBorders/>
            <w:vAlign w:val="center"/>
          </w:tcPr>
          <w:p>
            <w:pPr>
              <w:pStyle w:val="TableContents"/>
              <w:bidi w:val="0"/>
              <w:spacing w:before="0" w:after="283"/>
              <w:jc w:val="start"/>
              <w:rPr/>
            </w:pPr>
            <w:r>
              <w:rPr/>
              <w:t>[THIRD_ENCOUNTER]</w:t>
            </w:r>
          </w:p>
        </w:tc>
        <w:tc>
          <w:tcPr>
            <w:tcW w:w="3256" w:type="dxa"/>
            <w:tcBorders/>
            <w:vAlign w:val="center"/>
          </w:tcPr>
          <w:p>
            <w:pPr>
              <w:pStyle w:val="TableContents"/>
              <w:bidi w:val="0"/>
              <w:spacing w:before="0" w:after="283"/>
              <w:jc w:val="start"/>
              <w:rPr/>
            </w:pPr>
            <w:r>
              <w:rPr/>
              <w:t>November 21, 2025</w:t>
            </w:r>
          </w:p>
        </w:tc>
      </w:tr>
      <w:tr>
        <w:trPr/>
        <w:tc>
          <w:tcPr>
            <w:tcW w:w="3481" w:type="dxa"/>
            <w:tcBorders/>
            <w:vAlign w:val="center"/>
          </w:tcPr>
          <w:p>
            <w:pPr>
              <w:pStyle w:val="TableContents"/>
              <w:bidi w:val="0"/>
              <w:spacing w:before="0" w:after="283"/>
              <w:jc w:val="start"/>
              <w:rPr/>
            </w:pPr>
            <w:r>
              <w:rPr/>
              <w:t>[SYMPTOM]</w:t>
            </w:r>
          </w:p>
        </w:tc>
        <w:tc>
          <w:tcPr>
            <w:tcW w:w="3256" w:type="dxa"/>
            <w:tcBorders/>
            <w:vAlign w:val="center"/>
          </w:tcPr>
          <w:p>
            <w:pPr>
              <w:pStyle w:val="TableContents"/>
              <w:bidi w:val="0"/>
              <w:spacing w:before="0" w:after="283"/>
              <w:jc w:val="start"/>
              <w:rPr/>
            </w:pPr>
            <w:r>
              <w:rPr/>
              <w:t>persistent fever and lethargy</w:t>
            </w:r>
          </w:p>
        </w:tc>
      </w:tr>
      <w:tr>
        <w:trPr/>
        <w:tc>
          <w:tcPr>
            <w:tcW w:w="3481" w:type="dxa"/>
            <w:tcBorders/>
            <w:vAlign w:val="center"/>
          </w:tcPr>
          <w:p>
            <w:pPr>
              <w:pStyle w:val="TableContents"/>
              <w:bidi w:val="0"/>
              <w:spacing w:before="0" w:after="283"/>
              <w:jc w:val="start"/>
              <w:rPr/>
            </w:pPr>
            <w:r>
              <w:rPr/>
              <w:t>[DOCUMENTED_RESPONSE]</w:t>
            </w:r>
          </w:p>
        </w:tc>
        <w:tc>
          <w:tcPr>
            <w:tcW w:w="3256" w:type="dxa"/>
            <w:tcBorders/>
            <w:vAlign w:val="center"/>
          </w:tcPr>
          <w:p>
            <w:pPr>
              <w:pStyle w:val="TableContents"/>
              <w:bidi w:val="0"/>
              <w:spacing w:before="0" w:after="283"/>
              <w:jc w:val="start"/>
              <w:rPr/>
            </w:pPr>
            <w:r>
              <w:rPr/>
              <w:t>"monitor at home, no follow-up needed"</w:t>
            </w:r>
          </w:p>
        </w:tc>
      </w:tr>
      <w:tr>
        <w:trPr/>
        <w:tc>
          <w:tcPr>
            <w:tcW w:w="3481" w:type="dxa"/>
            <w:tcBorders/>
            <w:vAlign w:val="center"/>
          </w:tcPr>
          <w:p>
            <w:pPr>
              <w:pStyle w:val="TableContents"/>
              <w:bidi w:val="0"/>
              <w:spacing w:before="0" w:after="283"/>
              <w:jc w:val="start"/>
              <w:rPr/>
            </w:pPr>
            <w:r>
              <w:rPr/>
              <w:t>[SIGNATURE_NOTATION]</w:t>
            </w:r>
          </w:p>
        </w:tc>
        <w:tc>
          <w:tcPr>
            <w:tcW w:w="3256" w:type="dxa"/>
            <w:tcBorders/>
            <w:vAlign w:val="center"/>
          </w:tcPr>
          <w:p>
            <w:pPr>
              <w:pStyle w:val="TableContents"/>
              <w:bidi w:val="0"/>
              <w:spacing w:before="0" w:after="283"/>
              <w:jc w:val="start"/>
              <w:rPr/>
            </w:pPr>
            <w:r>
              <w:rPr/>
              <w:t>"per chart review"</w:t>
            </w:r>
          </w:p>
        </w:tc>
      </w:tr>
    </w:tbl>
    <w:p>
      <w:pPr>
        <w:pStyle w:val="BodyText"/>
        <w:bidi w:val="0"/>
        <w:spacing w:before="450" w:after="283"/>
        <w:ind w:hanging="0" w:start="0" w:end="0"/>
        <w:jc w:val="center"/>
        <w:rPr>
          <w:color w:val="333333"/>
          <w:sz w:val="18"/>
          <w:bdr w:val="single" w:sz="2" w:space="8" w:color="CCCCCC"/>
        </w:rPr>
      </w:pPr>
      <w:r>
        <w:rPr>
          <w:color w:val="333333"/>
          <w:sz w:val="18"/>
          <w:bdr w:val="single" w:sz="2" w:space="8" w:color="CCCCCC"/>
        </w:rPr>
        <w:t xml:space="preserve">© 2026 Riverside Community Hospital — Professional Standards Working Group. Internal circulation only: this draft and its intake form are restricted to the working group, and no portion may be reproduced, finalized, or transmitted outside the group without written authorization. </w:t>
      </w:r>
    </w:p>
    <w:sectPr>
      <w:type w:val="nextPage"/>
      <w:pgSz w:w="11906" w:h="16838"/>
      <w:pgMar w:left="1134" w:right="567" w:gutter="0" w:header="0" w:top="567" w:footer="0" w:bottom="567"/>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Times"/>
    <w:charset w:val="01" w:characterSet="utf-8"/>
    <w:family w:val="auto"/>
    <w:pitch w:val="default"/>
  </w:font>
  <w:font w:name="Noto Sans">
    <w:charset w:val="01" w:characterSet="utf-8"/>
    <w:family w:val="auto"/>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60" w:before="1440" w:after="1440"/>
      <w:ind w:start="1440" w:end="1440"/>
    </w:pPr>
    <w:rPr>
      <w:rFonts w:ascii="Times New Roman;Times;serif" w:hAnsi="Times New Roman;Times;serif" w:eastAsia="Times New Roman;Times;serif" w:cs="Times New Roman;Times;serif"/>
      <w:color w:val="000000"/>
      <w:sz w:val="24"/>
      <w:szCs w:val="24"/>
      <w:lang w:val="en-US" w:eastAsia="zh-CN" w:bidi="hi-IN"/>
    </w:rPr>
  </w:style>
  <w:style w:type="paragraph" w:styleId="Heading1">
    <w:name w:val="Heading 1"/>
    <w:basedOn w:val="Heading"/>
    <w:next w:val="BodyText"/>
    <w:qFormat/>
    <w:pPr/>
    <w:rPr>
      <w:rFonts w:ascii="Noto Sans" w:hAnsi="Noto Sans"/>
      <w:b/>
      <w:bCs/>
      <w:sz w:val="48"/>
      <w:szCs w:val="44"/>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trong">
    <w:name w:val="Strong"/>
    <w:qFormat/>
    <w:rPr>
      <w:b/>
      <w:bCs/>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Footer">
    <w:name w:val="Footer"/>
    <w:basedOn w:val="Normal"/>
    <w:pPr>
      <w:suppressLineNumbers/>
      <w:tabs>
        <w:tab w:val="clear" w:pos="1134"/>
        <w:tab w:val="center" w:pos="6258" w:leader="none"/>
        <w:tab w:val="right" w:pos="11077" w:leader="none"/>
      </w:tabs>
    </w:pPr>
    <w:rPr/>
  </w:style>
  <w:style w:type="paragraph" w:styleId="Header">
    <w:name w:val="Header"/>
    <w:basedOn w:val="Normal"/>
    <w:pPr>
      <w:suppressLineNumbers/>
      <w:tabs>
        <w:tab w:val="clear" w:pos="1134"/>
        <w:tab w:val="center" w:pos="6258" w:leader="none"/>
        <w:tab w:val="right" w:pos="11077" w:leader="none"/>
      </w:tabs>
    </w:pPr>
    <w:rPr/>
  </w:style>
  <w:style w:type="paragraph" w:styleId="HeaderandFooter">
    <w:name w:val="Header and Footer"/>
    <w:basedOn w:val="Normal"/>
    <w:qFormat/>
    <w:pPr>
      <w:suppressLineNumbers/>
      <w:tabs>
        <w:tab w:val="clear" w:pos="1134"/>
        <w:tab w:val="center" w:pos="6259" w:leader="none"/>
        <w:tab w:val="right" w:pos="11078" w:leader="none"/>
      </w:tabs>
    </w:pPr>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TableHeading">
    <w:name w:val="Table Heading"/>
    <w:basedOn w:val="TableContents"/>
    <w:qFormat/>
    <w:pPr>
      <w:suppressLineNumbers/>
      <w:jc w:val="center"/>
    </w:pPr>
    <w:rPr>
      <w:b/>
      <w:bCs/>
    </w:rPr>
  </w:style>
  <w:style w:type="paragraph" w:styleId="BodyTextsection-heading">
    <w:name w:val="Body Text.section-heading"/>
    <w:basedOn w:val="BodyText"/>
    <w:qFormat/>
    <w:pPr>
      <w:spacing w:before="225" w:after="75"/>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Referral Draft - Internal</dc:title>
</cp:coreProperties>
</file>

<file path=docProps/custom.xml><?xml version="1.0" encoding="utf-8"?>
<Properties xmlns="http://schemas.openxmlformats.org/officeDocument/2006/custom-properties" xmlns:vt="http://schemas.openxmlformats.org/officeDocument/2006/docPropsVTypes"/>
</file>