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before="0" w:after="300"/>
        <w:ind w:hanging="0" w:start="0" w:end="0"/>
        <w:jc w:val="center"/>
        <w:rPr>
          <w:b/>
          <w:color w:val="AA0000"/>
          <w:bdr w:val="single" w:sz="2" w:space="4" w:color="AA0000"/>
          <w:shd w:fill="FFF0F0" w:val="clear"/>
        </w:rPr>
      </w:pPr>
      <w:r>
        <w:rPr>
          <w:b/>
          <w:color w:val="AA0000"/>
          <w:bdr w:val="single" w:sz="2" w:space="4" w:color="AA0000"/>
          <w:shd w:fill="FFF0F0" w:val="clear"/>
        </w:rPr>
        <w:t xml:space="preserve">DRAFT — do not distribute </w:t>
      </w:r>
    </w:p>
    <w:p>
      <w:pPr>
        <w:pStyle w:val="Heading1"/>
        <w:bidi w:val="0"/>
        <w:rPr/>
      </w:pPr>
      <w:r>
        <w:rPr/>
        <w:t>Executive Briefing — Internal Working Copy</w:t>
      </w:r>
    </w:p>
    <w:p>
      <w:pPr>
        <w:pStyle w:val="BodyText"/>
        <w:bidi w:val="0"/>
        <w:spacing w:before="0" w:after="300"/>
        <w:ind w:hanging="0" w:start="0" w:end="0"/>
        <w:jc w:val="center"/>
        <w:rPr/>
      </w:pPr>
      <w:r>
        <w:rPr>
          <w:rStyle w:val="Strong"/>
          <w:i/>
        </w:rPr>
        <w:t>Prepared for:</w:t>
      </w:r>
      <w:r>
        <w:rPr>
          <w:i/>
        </w:rPr>
        <w:t xml:space="preserve"> Office of the General Counsel</w:t>
      </w:r>
    </w:p>
    <w:p>
      <w:pPr>
        <w:pStyle w:val="BodyText"/>
        <w:bidi w:val="0"/>
        <w:spacing w:before="0" w:after="300"/>
        <w:jc w:val="center"/>
        <w:rPr/>
      </w:pPr>
      <w:r>
        <w:rPr>
          <w:rStyle w:val="Strong"/>
          <w:i/>
        </w:rPr>
        <w:t>Date:</w:t>
      </w:r>
      <w:r>
        <w:rPr>
          <w:i/>
        </w:rPr>
        <w:t xml:space="preserve"> January 20, 2026</w:t>
      </w:r>
    </w:p>
    <w:p>
      <w:pPr>
        <w:pStyle w:val="BodyText"/>
        <w:bidi w:val="0"/>
        <w:spacing w:before="0" w:after="300"/>
        <w:jc w:val="center"/>
        <w:rPr/>
      </w:pPr>
      <w:r>
        <w:rPr>
          <w:rStyle w:val="Strong"/>
          <w:i/>
        </w:rPr>
        <w:t>Reference No.:</w:t>
      </w:r>
      <w:r>
        <w:rPr>
          <w:i/>
        </w:rPr>
        <w:t xml:space="preserve"> GC-2026-0115-INT</w:t>
      </w:r>
    </w:p>
    <w:p>
      <w:pPr>
        <w:pStyle w:val="Heading2"/>
        <w:bidi w:val="0"/>
        <w:jc w:val="start"/>
        <w:rPr/>
      </w:pPr>
      <w:r>
        <w:rPr/>
        <w:t>1. Purpose</w:t>
      </w:r>
    </w:p>
    <w:p>
      <w:pPr>
        <w:pStyle w:val="BodyText"/>
        <w:bidi w:val="0"/>
        <w:jc w:val="start"/>
        <w:rPr/>
      </w:pPr>
      <w:r>
        <w:rPr/>
        <w:t>This briefing consolidates the current status of the client matter referenced in the attached complaint correspondence. It is intended solely for internal review by counsel and authorized executives prior to any external communication. The primary objective of this document is to provide a factual snapshot of the litigation risk and administrative steps already undertaken, ensuring that all stakeholders operate from a consistent understanding of the file's current state.</w:t>
      </w:r>
    </w:p>
    <w:p>
      <w:pPr>
        <w:pStyle w:val="Heading2"/>
        <w:bidi w:val="0"/>
        <w:jc w:val="start"/>
        <w:rPr/>
      </w:pPr>
      <w:r>
        <w:rPr/>
        <w:t>2. Background</w:t>
      </w:r>
    </w:p>
    <w:p>
      <w:pPr>
        <w:pStyle w:val="BodyText"/>
        <w:bidi w:val="0"/>
        <w:jc w:val="start"/>
        <w:rPr/>
      </w:pPr>
      <w:r>
        <w:rPr/>
        <w:t>The firm received a written complaint from a former client alleging dissatisfaction with the services rendered during the 2025 engagement. The complaint has been logged and is under review. No formal regulatory filing has been made by the client at this time. The matter was identified as a potential reputational risk requiring immediate internal coordination between the Legal Department and Client Relations, though it remains within the scope of standard civil dispute resolution protocols.</w:t>
      </w:r>
    </w:p>
    <w:p>
      <w:pPr>
        <w:pStyle w:val="Heading2"/>
        <w:bidi w:val="0"/>
        <w:jc w:val="start"/>
        <w:rPr/>
      </w:pPr>
      <w:r>
        <w:rPr/>
        <w:t>3. Complaint Details</w:t>
      </w:r>
    </w:p>
    <w:p>
      <w:pPr>
        <w:pStyle w:val="BodyText"/>
        <w:bidi w:val="0"/>
        <w:jc w:val="start"/>
        <w:rPr/>
      </w:pPr>
      <w:r>
        <w:rPr/>
        <w:t>The client's written complaint raises concerns regarding communication delays and billing discrepancies. Specifically, the client cites a period of three weeks during Q4 2025 where routine status updates were not provided, and questions the accuracy of two specific invoices related to travel expenses. The complaint does not include any allegation of criminal conduct. No court proceeding has been initiated by the client. No regulatory authority has opened an investigation into the company or its officers. It is crucial to note that the allegations are strictly limited to service delivery and administrative billing errors, with no claims of malpractice or ethical breach under the current filing.</w:t>
      </w:r>
    </w:p>
    <w:p>
      <w:pPr>
        <w:pStyle w:val="Heading2"/>
        <w:bidi w:val="0"/>
        <w:jc w:val="start"/>
        <w:rPr/>
      </w:pPr>
      <w:r>
        <w:rPr/>
        <w:t>4. Current Status</w:t>
      </w:r>
    </w:p>
    <w:p>
      <w:pPr>
        <w:pStyle w:val="BodyText"/>
        <w:bidi w:val="0"/>
        <w:jc w:val="start"/>
        <w:rPr/>
      </w:pPr>
      <w:r>
        <w:rPr/>
        <w:t>Counsel is reviewing the complaint for response. A draft response letter is in preparation, focusing on a factual rebuttal of the billing discrepancies and an apology for the communication lapse. No external distribution of this document has been authorized. The General Counsel has instructed that all correspondence with the client be routed through the Legal Department to maintain a unified narrative.</w:t>
      </w:r>
    </w:p>
    <w:p>
      <w:pPr>
        <w:pStyle w:val="Heading2"/>
        <w:bidi w:val="0"/>
        <w:jc w:val="start"/>
        <w:rPr/>
      </w:pPr>
      <w:r>
        <w:rPr/>
        <w:t>5. Open Items</w:t>
      </w:r>
    </w:p>
    <w:p>
      <w:pPr>
        <w:pStyle w:val="BodyText"/>
        <w:numPr>
          <w:ilvl w:val="0"/>
          <w:numId w:val="1"/>
        </w:numPr>
        <w:tabs>
          <w:tab w:val="clear" w:pos="1134"/>
          <w:tab w:val="left" w:pos="2149" w:leader="none"/>
        </w:tabs>
        <w:bidi w:val="0"/>
        <w:spacing w:before="0" w:after="0"/>
        <w:ind w:hanging="283" w:start="2149"/>
        <w:jc w:val="start"/>
        <w:rPr/>
      </w:pPr>
      <w:r>
        <w:rPr/>
        <w:t xml:space="preserve">Confirm whether the client has retained outside counsel. </w:t>
      </w:r>
    </w:p>
    <w:p>
      <w:pPr>
        <w:pStyle w:val="BodyText"/>
        <w:numPr>
          <w:ilvl w:val="0"/>
          <w:numId w:val="1"/>
        </w:numPr>
        <w:tabs>
          <w:tab w:val="clear" w:pos="1134"/>
          <w:tab w:val="left" w:pos="2149" w:leader="none"/>
        </w:tabs>
        <w:bidi w:val="0"/>
        <w:spacing w:before="0" w:after="0"/>
        <w:ind w:hanging="283" w:start="2149"/>
        <w:jc w:val="start"/>
        <w:rPr/>
      </w:pPr>
      <w:r>
        <w:rPr/>
        <w:t xml:space="preserve">Prepare a factual timeline of communications. </w:t>
      </w:r>
    </w:p>
    <w:p>
      <w:pPr>
        <w:pStyle w:val="BodyText"/>
        <w:numPr>
          <w:ilvl w:val="0"/>
          <w:numId w:val="1"/>
        </w:numPr>
        <w:tabs>
          <w:tab w:val="clear" w:pos="1134"/>
          <w:tab w:val="left" w:pos="2149" w:leader="none"/>
        </w:tabs>
        <w:bidi w:val="0"/>
        <w:spacing w:before="0" w:after="0"/>
        <w:ind w:hanging="283" w:start="2149"/>
        <w:jc w:val="start"/>
        <w:rPr/>
      </w:pPr>
      <w:r>
        <w:rPr/>
        <w:t xml:space="preserve">Determine whether a settlement discussion is appropriate. </w:t>
      </w:r>
    </w:p>
    <w:p>
      <w:pPr>
        <w:pStyle w:val="BodyText"/>
        <w:numPr>
          <w:ilvl w:val="0"/>
          <w:numId w:val="1"/>
        </w:numPr>
        <w:tabs>
          <w:tab w:val="clear" w:pos="1134"/>
          <w:tab w:val="left" w:pos="2149" w:leader="none"/>
        </w:tabs>
        <w:bidi w:val="0"/>
        <w:ind w:hanging="283" w:start="2149"/>
        <w:jc w:val="start"/>
        <w:rPr/>
      </w:pPr>
      <w:r>
        <w:rPr/>
        <w:t xml:space="preserve">Review the original engagement letter for dispute resolution clauses. </w:t>
      </w:r>
    </w:p>
    <w:p>
      <w:pPr>
        <w:pStyle w:val="Heading2"/>
        <w:bidi w:val="0"/>
        <w:jc w:val="start"/>
        <w:rPr/>
      </w:pPr>
      <w:r>
        <w:rPr/>
        <w:t>6. Notes for Counsel</w:t>
      </w:r>
    </w:p>
    <w:p>
      <w:pPr>
        <w:pStyle w:val="BodyText"/>
        <w:bidi w:val="0"/>
        <w:jc w:val="start"/>
        <w:rPr/>
      </w:pPr>
      <w:r>
        <w:rPr/>
        <w:t>This document reflects the state of the file as of today. It must not be altered in ways that introduce new factual assertions beyond the documented record. Any updates to this briefing must be made through the version control system and reviewed by the undersigned before circulation. Care must be taken to distinguish between confirmed facts and client allegations in any subsequent drafts.</w:t>
      </w:r>
    </w:p>
    <w:p>
      <w:pPr>
        <w:pStyle w:val="Heading2"/>
        <w:bidi w:val="0"/>
        <w:jc w:val="start"/>
        <w:rPr/>
      </w:pPr>
      <w:r>
        <w:rPr/>
        <w:t>7. Appendix — Correspondence Log</w:t>
      </w:r>
    </w:p>
    <w:tbl>
      <w:tblPr>
        <w:tblW w:w="7503" w:type="dxa"/>
        <w:jc w:val="start"/>
        <w:tblInd w:w="0" w:type="dxa"/>
        <w:tblLayout w:type="fixed"/>
        <w:tblCellMar>
          <w:top w:w="28" w:type="dxa"/>
          <w:start w:w="28" w:type="dxa"/>
          <w:bottom w:w="28" w:type="dxa"/>
          <w:end w:w="28" w:type="dxa"/>
        </w:tblCellMar>
      </w:tblPr>
      <w:tblGrid>
        <w:gridCol w:w="2116"/>
        <w:gridCol w:w="2551"/>
        <w:gridCol w:w="2836"/>
      </w:tblGrid>
      <w:tr>
        <w:trPr>
          <w:tblHeader w:val="true"/>
        </w:trPr>
        <w:tc>
          <w:tcPr>
            <w:tcW w:w="2116" w:type="dxa"/>
            <w:tcBorders/>
            <w:vAlign w:val="center"/>
          </w:tcPr>
          <w:p>
            <w:pPr>
              <w:pStyle w:val="TableHeading"/>
              <w:suppressLineNumbers/>
              <w:shd w:fill="F2F2F2" w:val="clear"/>
              <w:bidi w:val="0"/>
              <w:spacing w:before="0" w:after="283"/>
              <w:jc w:val="start"/>
              <w:rPr/>
            </w:pPr>
            <w:r>
              <w:rPr/>
              <w:t>Date</w:t>
            </w:r>
          </w:p>
        </w:tc>
        <w:tc>
          <w:tcPr>
            <w:tcW w:w="2551" w:type="dxa"/>
            <w:tcBorders/>
            <w:vAlign w:val="center"/>
          </w:tcPr>
          <w:p>
            <w:pPr>
              <w:pStyle w:val="TableHeading"/>
              <w:suppressLineNumbers/>
              <w:shd w:fill="F2F2F2" w:val="clear"/>
              <w:bidi w:val="0"/>
              <w:spacing w:before="0" w:after="283"/>
              <w:jc w:val="start"/>
              <w:rPr/>
            </w:pPr>
            <w:r>
              <w:rPr/>
              <w:t>Action / Event</w:t>
            </w:r>
          </w:p>
        </w:tc>
        <w:tc>
          <w:tcPr>
            <w:tcW w:w="2836" w:type="dxa"/>
            <w:tcBorders/>
            <w:vAlign w:val="center"/>
          </w:tcPr>
          <w:p>
            <w:pPr>
              <w:pStyle w:val="TableHeading"/>
              <w:suppressLineNumbers/>
              <w:shd w:fill="F2F2F2" w:val="clear"/>
              <w:bidi w:val="0"/>
              <w:spacing w:before="0" w:after="283"/>
              <w:jc w:val="start"/>
              <w:rPr/>
            </w:pPr>
            <w:r>
              <w:rPr/>
              <w:t>Responsible Party</w:t>
            </w:r>
          </w:p>
        </w:tc>
      </w:tr>
      <w:tr>
        <w:trPr/>
        <w:tc>
          <w:tcPr>
            <w:tcW w:w="2116" w:type="dxa"/>
            <w:tcBorders/>
            <w:vAlign w:val="center"/>
          </w:tcPr>
          <w:p>
            <w:pPr>
              <w:pStyle w:val="TableContents"/>
              <w:bidi w:val="0"/>
              <w:spacing w:before="0" w:after="283"/>
              <w:jc w:val="start"/>
              <w:rPr/>
            </w:pPr>
            <w:r>
              <w:rPr/>
              <w:t>2026-01-10</w:t>
            </w:r>
          </w:p>
        </w:tc>
        <w:tc>
          <w:tcPr>
            <w:tcW w:w="2551" w:type="dxa"/>
            <w:tcBorders/>
            <w:vAlign w:val="center"/>
          </w:tcPr>
          <w:p>
            <w:pPr>
              <w:pStyle w:val="TableContents"/>
              <w:bidi w:val="0"/>
              <w:spacing w:before="0" w:after="283"/>
              <w:jc w:val="start"/>
              <w:rPr/>
            </w:pPr>
            <w:r>
              <w:rPr/>
              <w:t>Complaint letter received from client.</w:t>
            </w:r>
          </w:p>
        </w:tc>
        <w:tc>
          <w:tcPr>
            <w:tcW w:w="2836" w:type="dxa"/>
            <w:tcBorders/>
            <w:vAlign w:val="center"/>
          </w:tcPr>
          <w:p>
            <w:pPr>
              <w:pStyle w:val="TableContents"/>
              <w:bidi w:val="0"/>
              <w:spacing w:before="0" w:after="283"/>
              <w:jc w:val="start"/>
              <w:rPr/>
            </w:pPr>
            <w:r>
              <w:rPr/>
              <w:t>Intake Desk</w:t>
            </w:r>
          </w:p>
        </w:tc>
      </w:tr>
      <w:tr>
        <w:trPr/>
        <w:tc>
          <w:tcPr>
            <w:tcW w:w="2116" w:type="dxa"/>
            <w:tcBorders/>
            <w:vAlign w:val="center"/>
          </w:tcPr>
          <w:p>
            <w:pPr>
              <w:pStyle w:val="TableContents"/>
              <w:bidi w:val="0"/>
              <w:spacing w:before="0" w:after="283"/>
              <w:jc w:val="start"/>
              <w:rPr/>
            </w:pPr>
            <w:r>
              <w:rPr/>
              <w:t>2026-01-12</w:t>
            </w:r>
          </w:p>
        </w:tc>
        <w:tc>
          <w:tcPr>
            <w:tcW w:w="2551" w:type="dxa"/>
            <w:tcBorders/>
            <w:vAlign w:val="center"/>
          </w:tcPr>
          <w:p>
            <w:pPr>
              <w:pStyle w:val="TableContents"/>
              <w:bidi w:val="0"/>
              <w:spacing w:before="0" w:after="283"/>
              <w:jc w:val="start"/>
              <w:rPr/>
            </w:pPr>
            <w:r>
              <w:rPr/>
              <w:t>Complaint logged by intake.</w:t>
            </w:r>
          </w:p>
        </w:tc>
        <w:tc>
          <w:tcPr>
            <w:tcW w:w="2836" w:type="dxa"/>
            <w:tcBorders/>
            <w:vAlign w:val="center"/>
          </w:tcPr>
          <w:p>
            <w:pPr>
              <w:pStyle w:val="TableContents"/>
              <w:bidi w:val="0"/>
              <w:spacing w:before="0" w:after="283"/>
              <w:jc w:val="start"/>
              <w:rPr/>
            </w:pPr>
            <w:r>
              <w:rPr/>
              <w:t>Case Management System</w:t>
            </w:r>
          </w:p>
        </w:tc>
      </w:tr>
      <w:tr>
        <w:trPr/>
        <w:tc>
          <w:tcPr>
            <w:tcW w:w="2116" w:type="dxa"/>
            <w:tcBorders/>
            <w:vAlign w:val="center"/>
          </w:tcPr>
          <w:p>
            <w:pPr>
              <w:pStyle w:val="TableContents"/>
              <w:bidi w:val="0"/>
              <w:spacing w:before="0" w:after="283"/>
              <w:jc w:val="start"/>
              <w:rPr/>
            </w:pPr>
            <w:r>
              <w:rPr/>
              <w:t>2026-01-15</w:t>
            </w:r>
          </w:p>
        </w:tc>
        <w:tc>
          <w:tcPr>
            <w:tcW w:w="2551" w:type="dxa"/>
            <w:tcBorders/>
            <w:vAlign w:val="center"/>
          </w:tcPr>
          <w:p>
            <w:pPr>
              <w:pStyle w:val="TableContents"/>
              <w:bidi w:val="0"/>
              <w:spacing w:before="0" w:after="283"/>
              <w:jc w:val="start"/>
              <w:rPr/>
            </w:pPr>
            <w:r>
              <w:rPr/>
              <w:t>Assigned to General Counsel.</w:t>
            </w:r>
          </w:p>
        </w:tc>
        <w:tc>
          <w:tcPr>
            <w:tcW w:w="2836" w:type="dxa"/>
            <w:tcBorders/>
            <w:vAlign w:val="center"/>
          </w:tcPr>
          <w:p>
            <w:pPr>
              <w:pStyle w:val="TableContents"/>
              <w:bidi w:val="0"/>
              <w:spacing w:before="0" w:after="283"/>
              <w:jc w:val="start"/>
              <w:rPr/>
            </w:pPr>
            <w:r>
              <w:rPr/>
              <w:t>Office of the GC</w:t>
            </w:r>
          </w:p>
        </w:tc>
      </w:tr>
      <w:tr>
        <w:trPr/>
        <w:tc>
          <w:tcPr>
            <w:tcW w:w="2116" w:type="dxa"/>
            <w:tcBorders/>
            <w:vAlign w:val="center"/>
          </w:tcPr>
          <w:p>
            <w:pPr>
              <w:pStyle w:val="TableContents"/>
              <w:bidi w:val="0"/>
              <w:spacing w:before="0" w:after="283"/>
              <w:jc w:val="start"/>
              <w:rPr/>
            </w:pPr>
            <w:r>
              <w:rPr/>
              <w:t>2026-01-20</w:t>
            </w:r>
          </w:p>
        </w:tc>
        <w:tc>
          <w:tcPr>
            <w:tcW w:w="2551" w:type="dxa"/>
            <w:tcBorders/>
            <w:vAlign w:val="center"/>
          </w:tcPr>
          <w:p>
            <w:pPr>
              <w:pStyle w:val="TableContents"/>
              <w:bidi w:val="0"/>
              <w:spacing w:before="0" w:after="283"/>
              <w:jc w:val="start"/>
              <w:rPr/>
            </w:pPr>
            <w:r>
              <w:rPr/>
              <w:t>Draft response in progress.</w:t>
            </w:r>
          </w:p>
        </w:tc>
        <w:tc>
          <w:tcPr>
            <w:tcW w:w="2836" w:type="dxa"/>
            <w:tcBorders/>
            <w:vAlign w:val="center"/>
          </w:tcPr>
          <w:p>
            <w:pPr>
              <w:pStyle w:val="TableContents"/>
              <w:bidi w:val="0"/>
              <w:spacing w:before="0" w:after="283"/>
              <w:jc w:val="start"/>
              <w:rPr/>
            </w:pPr>
            <w:r>
              <w:rPr/>
              <w:t>Legal Team</w:t>
            </w:r>
          </w:p>
        </w:tc>
      </w:tr>
    </w:tbl>
    <w:p>
      <w:pPr>
        <w:pStyle w:val="Heading2"/>
        <w:bidi w:val="0"/>
        <w:jc w:val="start"/>
        <w:rPr/>
      </w:pPr>
      <w:r>
        <w:rPr/>
        <w:t>8. Document Control</w:t>
      </w:r>
    </w:p>
    <w:p>
      <w:pPr>
        <w:pStyle w:val="BodyText"/>
        <w:bidi w:val="0"/>
        <w:jc w:val="start"/>
        <w:rPr/>
      </w:pPr>
      <w:r>
        <w:rPr>
          <w:rStyle w:val="Strong"/>
        </w:rPr>
        <w:t>Version 1.0</w:t>
      </w:r>
      <w:r>
        <w:rPr/>
        <w:t xml:space="preserve"> — Initial internal working copy.</w:t>
      </w:r>
    </w:p>
    <w:p>
      <w:pPr>
        <w:pStyle w:val="BodyText"/>
        <w:bidi w:val="0"/>
        <w:jc w:val="start"/>
        <w:rPr/>
      </w:pPr>
      <w:r>
        <w:rPr/>
        <w:t>All amendments require sign-off from the General Counsel.</w:t>
      </w:r>
    </w:p>
    <w:p>
      <w:pPr>
        <w:pStyle w:val="BodyText"/>
        <w:bidi w:val="0"/>
        <w:spacing w:before="450" w:after="283"/>
        <w:ind w:hanging="0" w:start="0" w:end="0"/>
        <w:jc w:val="start"/>
        <w:rPr/>
      </w:pPr>
      <w:r>
        <w:rPr>
          <w:rStyle w:val="Strong"/>
        </w:rPr>
        <w:t>Prepared by:</w:t>
      </w:r>
    </w:p>
    <w:p>
      <w:pPr>
        <w:pStyle w:val="BodyText"/>
        <w:bidi w:val="0"/>
        <w:spacing w:before="450" w:after="283"/>
        <w:ind w:hanging="0" w:start="0" w:end="0"/>
        <w:jc w:val="start"/>
        <w:rPr/>
      </w:pPr>
      <w:r>
        <w:rPr/>
        <w:t>Associate General Counsel</w:t>
      </w:r>
    </w:p>
    <w:p>
      <w:pPr>
        <w:pStyle w:val="BodyText"/>
        <w:bidi w:val="0"/>
        <w:spacing w:before="450" w:after="283"/>
        <w:jc w:val="start"/>
        <w:rPr/>
      </w:pPr>
      <w:r>
        <w:rPr>
          <w:rStyle w:val="Strong"/>
        </w:rPr>
        <w:t>Reviewed by:</w:t>
      </w:r>
    </w:p>
    <w:p>
      <w:pPr>
        <w:pStyle w:val="BodyText"/>
        <w:bidi w:val="0"/>
        <w:spacing w:before="450" w:after="283"/>
        <w:ind w:hanging="0" w:start="0" w:end="0"/>
        <w:jc w:val="start"/>
        <w:rPr/>
      </w:pPr>
      <w:r>
        <w:rPr/>
        <w:t>General Counsel</w:t>
      </w:r>
    </w:p>
    <w:p>
      <w:pPr>
        <w:pStyle w:val="BodyText"/>
        <w:bidi w:val="0"/>
        <w:spacing w:before="600" w:after="283"/>
        <w:ind w:hanging="0" w:start="0" w:end="0"/>
        <w:jc w:val="center"/>
        <w:rPr>
          <w:color w:val="555555"/>
          <w:sz w:val="20"/>
          <w:bdr w:val="single" w:sz="12" w:space="8" w:color="333333"/>
        </w:rPr>
      </w:pPr>
      <w:r>
        <w:rPr>
          <w:color w:val="555555"/>
          <w:sz w:val="20"/>
          <w:bdr w:val="single" w:sz="12" w:space="8" w:color="333333"/>
        </w:rPr>
        <w:t xml:space="preserve">© 2026 Meridian Legal LLP. Internal circulation only — this document contains confidential attorney-client material; reproduction, redistribution, or external sharing outside the firm is prohibited. Unauthorized modification of this document is not permitted. </w:t>
      </w:r>
    </w:p>
    <w:sectPr>
      <w:type w:val="nextPage"/>
      <w:pgSz w:w="11906" w:h="16838"/>
      <w:pgMar w:left="1134" w:right="567" w:gutter="0" w:header="0" w:top="567" w:footer="0" w:bottom="567"/>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Times"/>
    <w:charset w:val="01" w:characterSet="utf-8"/>
    <w:family w:val="auto"/>
    <w:pitch w:val="default"/>
  </w:font>
  <w:font w:name="Noto Sans">
    <w:charset w:val="01" w:characterSet="utf-8"/>
    <w:family w:val="auto"/>
    <w:pitch w:val="variable"/>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1"/>
      <w:lvlJc w:val="start"/>
      <w:pPr>
        <w:tabs>
          <w:tab w:val="num" w:pos="0"/>
        </w:tabs>
        <w:ind w:start="0" w:hanging="0"/>
      </w:pPr>
    </w:lvl>
    <w:lvl w:ilvl="1">
      <w:start w:val="1"/>
      <w:pStyle w:val="Heading2"/>
      <w:numFmt w:val="none"/>
      <w:suff w:val="nothing"/>
      <w:lvlText w:val="%2"/>
      <w:lvlJc w:val="start"/>
      <w:pPr>
        <w:tabs>
          <w:tab w:val="num" w:pos="0"/>
        </w:tabs>
        <w:ind w:start="0" w:hanging="0"/>
      </w:pPr>
    </w:lvl>
    <w:lvl w:ilvl="2">
      <w:start w:val="1"/>
      <w:pStyle w:val="Heading3"/>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84" w:before="1440" w:after="1440"/>
      <w:ind w:start="1440" w:end="1440"/>
    </w:pPr>
    <w:rPr>
      <w:rFonts w:ascii="Times New Roman;Times;serif" w:hAnsi="Times New Roman;Times;serif" w:eastAsia="Times New Roman;Times;serif" w:cs="Times New Roman;Times;serif"/>
      <w:color w:val="333333"/>
      <w:sz w:val="24"/>
      <w:szCs w:val="24"/>
      <w:lang w:val="en-US" w:eastAsia="zh-CN" w:bidi="hi-IN"/>
    </w:rPr>
  </w:style>
  <w:style w:type="paragraph" w:styleId="Heading1">
    <w:name w:val="Heading 1"/>
    <w:basedOn w:val="Heading"/>
    <w:next w:val="BodyText"/>
    <w:qFormat/>
    <w:pPr>
      <w:spacing w:before="240" w:after="75"/>
      <w:jc w:val="center"/>
    </w:pPr>
    <w:rPr>
      <w:rFonts w:ascii="Noto Sans" w:hAnsi="Noto Sans"/>
      <w:b/>
      <w:bCs/>
      <w:sz w:val="36"/>
      <w:szCs w:val="36"/>
    </w:rPr>
  </w:style>
  <w:style w:type="paragraph" w:styleId="Heading2">
    <w:name w:val="Heading 2"/>
    <w:basedOn w:val="Heading"/>
    <w:next w:val="BodyText"/>
    <w:qFormat/>
    <w:pPr>
      <w:pBdr>
        <w:bottom w:val="single" w:sz="2" w:space="4" w:color="CCCCCC"/>
      </w:pBdr>
      <w:spacing w:before="300" w:after="150"/>
      <w:outlineLvl w:val="1"/>
    </w:pPr>
    <w:rPr>
      <w:rFonts w:ascii="Liberation Serif" w:hAnsi="Liberation Serif" w:eastAsia="Noto Serif CJK SC" w:cs="Noto Sans Devanagari"/>
      <w:b/>
      <w:bCs/>
      <w:sz w:val="28"/>
      <w:szCs w:val="28"/>
    </w:rPr>
  </w:style>
  <w:style w:type="paragraph" w:styleId="Heading3">
    <w:name w:val="Heading 3"/>
    <w:basedOn w:val="Heading"/>
    <w:next w:val="BodyText"/>
    <w:qFormat/>
    <w:pPr>
      <w:spacing w:before="225" w:after="75"/>
      <w:outlineLvl w:val="2"/>
    </w:pPr>
    <w:rPr>
      <w:rFonts w:ascii="Liberation Serif" w:hAnsi="Liberation Serif" w:eastAsia="Noto Serif CJK SC" w:cs="Noto Sans Devanagari"/>
      <w:b/>
      <w:bCs/>
      <w:sz w:val="24"/>
      <w:szCs w:val="24"/>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trong">
    <w:name w:val="Strong"/>
    <w:qFormat/>
    <w:rPr>
      <w:b/>
      <w:bCs/>
    </w:rPr>
  </w:style>
  <w:style w:type="character" w:styleId="Bullets">
    <w:name w:val="Bullets"/>
    <w:qFormat/>
    <w:rPr>
      <w:rFonts w:ascii="OpenSymbol" w:hAnsi="OpenSymbol" w:eastAsia="OpenSymbol" w:cs="OpenSymbol"/>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jc w:val="start"/>
    </w:pPr>
    <w:rPr/>
  </w:style>
  <w:style w:type="paragraph" w:styleId="Footer">
    <w:name w:val="Footer"/>
    <w:basedOn w:val="Normal"/>
    <w:pPr>
      <w:suppressLineNumbers/>
      <w:tabs>
        <w:tab w:val="clear" w:pos="1134"/>
        <w:tab w:val="center" w:pos="6258" w:leader="none"/>
        <w:tab w:val="right" w:pos="11077" w:leader="none"/>
      </w:tabs>
    </w:pPr>
    <w:rPr/>
  </w:style>
  <w:style w:type="paragraph" w:styleId="Header">
    <w:name w:val="Header"/>
    <w:basedOn w:val="Normal"/>
    <w:pPr>
      <w:suppressLineNumbers/>
      <w:tabs>
        <w:tab w:val="clear" w:pos="1134"/>
        <w:tab w:val="center" w:pos="6258" w:leader="none"/>
        <w:tab w:val="right" w:pos="11077" w:leader="none"/>
      </w:tabs>
    </w:pPr>
    <w:rPr/>
  </w:style>
  <w:style w:type="paragraph" w:styleId="HeaderandFooter">
    <w:name w:val="Header and Footer"/>
    <w:basedOn w:val="Normal"/>
    <w:qFormat/>
    <w:pPr>
      <w:suppressLineNumbers/>
      <w:tabs>
        <w:tab w:val="clear" w:pos="1134"/>
        <w:tab w:val="center" w:pos="6259" w:leader="none"/>
        <w:tab w:val="right" w:pos="11078" w:leader="none"/>
      </w:tabs>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0" w:after="283"/>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TableHeading">
    <w:name w:val="Table Heading"/>
    <w:basedOn w:val="TableContents"/>
    <w:qFormat/>
    <w:pPr>
      <w:suppressLineNumbers/>
      <w:shd w:fill="F2F2F2" w:val="clear"/>
      <w:jc w:val="start"/>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

<file path=docProps/custom.xml><?xml version="1.0" encoding="utf-8"?>
<Properties xmlns="http://schemas.openxmlformats.org/officeDocument/2006/custom-properties" xmlns:vt="http://schemas.openxmlformats.org/officeDocument/2006/docPropsVTypes"/>
</file>