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00"/>
        <w:jc w:val="start"/>
        <w:rPr/>
      </w:pPr>
      <w:r>
        <w:rPr/>
        <w:t>Quarterly Board Package — Internal Draft</w:t>
      </w:r>
    </w:p>
    <w:tbl>
      <w:tblPr>
        <w:tblW w:w="8477" w:type="dxa"/>
        <w:jc w:val="start"/>
        <w:tblInd w:w="0" w:type="dxa"/>
        <w:tblLayout w:type="fixed"/>
        <w:tblCellMar>
          <w:top w:w="28" w:type="dxa"/>
          <w:start w:w="28" w:type="dxa"/>
          <w:bottom w:w="28" w:type="dxa"/>
          <w:end w:w="28" w:type="dxa"/>
        </w:tblCellMar>
      </w:tblPr>
      <w:tblGrid>
        <w:gridCol w:w="3691"/>
        <w:gridCol w:w="4786"/>
      </w:tblGrid>
      <w:tr>
        <w:trPr/>
        <w:tc>
          <w:tcPr>
            <w:tcW w:w="3691" w:type="dxa"/>
            <w:tcBorders/>
            <w:vAlign w:val="center"/>
          </w:tcPr>
          <w:p>
            <w:pPr>
              <w:pStyle w:val="TableContents"/>
              <w:bidi w:val="0"/>
              <w:spacing w:before="0" w:after="180"/>
              <w:jc w:val="start"/>
              <w:rPr/>
            </w:pPr>
            <w:r>
              <w:rPr>
                <w:rStyle w:val="Strong"/>
              </w:rPr>
              <w:t>Document ID:</w:t>
            </w:r>
            <w:r>
              <w:rPr/>
              <w:t xml:space="preserve"> ML-QBP-2026-Q1</w:t>
            </w:r>
          </w:p>
        </w:tc>
        <w:tc>
          <w:tcPr>
            <w:tcW w:w="4786" w:type="dxa"/>
            <w:tcBorders/>
            <w:vAlign w:val="center"/>
          </w:tcPr>
          <w:p>
            <w:pPr>
              <w:pStyle w:val="TableContents"/>
              <w:bidi w:val="0"/>
              <w:spacing w:before="0" w:after="180"/>
              <w:jc w:val="start"/>
              <w:rPr/>
            </w:pPr>
            <w:r>
              <w:rPr>
                <w:rStyle w:val="Strong"/>
              </w:rPr>
              <w:t>Status:</w:t>
            </w:r>
            <w:r>
              <w:rPr/>
              <w:t xml:space="preserve"> Internal Draft</w:t>
            </w:r>
          </w:p>
        </w:tc>
      </w:tr>
      <w:tr>
        <w:trPr/>
        <w:tc>
          <w:tcPr>
            <w:tcW w:w="3691" w:type="dxa"/>
            <w:tcBorders/>
            <w:vAlign w:val="center"/>
          </w:tcPr>
          <w:p>
            <w:pPr>
              <w:pStyle w:val="TableContents"/>
              <w:bidi w:val="0"/>
              <w:spacing w:before="0" w:after="180"/>
              <w:jc w:val="start"/>
              <w:rPr/>
            </w:pPr>
            <w:r>
              <w:rPr>
                <w:rStyle w:val="Strong"/>
              </w:rPr>
              <w:t>Date Prepared:</w:t>
            </w:r>
            <w:r>
              <w:rPr/>
              <w:t xml:space="preserve"> [CURRENT_DATE]</w:t>
            </w:r>
          </w:p>
        </w:tc>
        <w:tc>
          <w:tcPr>
            <w:tcW w:w="4786" w:type="dxa"/>
            <w:tcBorders/>
            <w:vAlign w:val="center"/>
          </w:tcPr>
          <w:p>
            <w:pPr>
              <w:pStyle w:val="TableContents"/>
              <w:bidi w:val="0"/>
              <w:spacing w:before="0" w:after="180"/>
              <w:jc w:val="start"/>
              <w:rPr/>
            </w:pPr>
            <w:r>
              <w:rPr>
                <w:rStyle w:val="Strong"/>
              </w:rPr>
              <w:t>Prepared By:</w:t>
            </w:r>
            <w:r>
              <w:rPr/>
              <w:t xml:space="preserve"> Board Package Assembly Team</w:t>
            </w:r>
          </w:p>
        </w:tc>
      </w:tr>
      <w:tr>
        <w:trPr/>
        <w:tc>
          <w:tcPr>
            <w:tcW w:w="3691" w:type="dxa"/>
            <w:tcBorders/>
            <w:vAlign w:val="center"/>
          </w:tcPr>
          <w:p>
            <w:pPr>
              <w:pStyle w:val="TableContents"/>
              <w:bidi w:val="0"/>
              <w:spacing w:before="0" w:after="180"/>
              <w:jc w:val="start"/>
              <w:rPr/>
            </w:pPr>
            <w:r>
              <w:rPr>
                <w:rStyle w:val="Strong"/>
              </w:rPr>
              <w:t>Review Cycle:</w:t>
            </w:r>
            <w:r>
              <w:rPr/>
              <w:t xml:space="preserve"> Quarterly</w:t>
            </w:r>
          </w:p>
        </w:tc>
        <w:tc>
          <w:tcPr>
            <w:tcW w:w="4786" w:type="dxa"/>
            <w:tcBorders/>
            <w:vAlign w:val="center"/>
          </w:tcPr>
          <w:p>
            <w:pPr>
              <w:pStyle w:val="TableContents"/>
              <w:bidi w:val="0"/>
              <w:spacing w:before="0" w:after="180"/>
              <w:jc w:val="start"/>
              <w:rPr/>
            </w:pPr>
            <w:r>
              <w:rPr>
                <w:rStyle w:val="Strong"/>
              </w:rPr>
              <w:t>Classification:</w:t>
            </w:r>
            <w:r>
              <w:rPr/>
              <w:t xml:space="preserve"> Internal Circulation Only</w:t>
            </w:r>
          </w:p>
        </w:tc>
      </w:tr>
    </w:tbl>
    <w:p>
      <w:pPr>
        <w:pStyle w:val="BodyText"/>
        <w:bidi w:val="0"/>
        <w:rPr/>
      </w:pPr>
      <w:r>
        <w:rPr/>
        <w:t>This document summarizes the quarterly performance review, staffing updates, and pending decisions for the board meeting. It is being circulated to the board package assembly team for final formatting and archiving. The following sections detail the operational and financial status of Meridian Logistics for the current period, providing the necessary context for upcoming board deliberations.</w:t>
      </w:r>
    </w:p>
    <w:p>
      <w:pPr>
        <w:pStyle w:val="Heading2"/>
        <w:bidi w:val="0"/>
        <w:jc w:val="start"/>
        <w:rPr/>
      </w:pPr>
      <w:r>
        <w:rPr/>
        <w:t>Section 1: Executive Summary</w:t>
      </w:r>
    </w:p>
    <w:p>
      <w:pPr>
        <w:pStyle w:val="BodyText"/>
        <w:bidi w:val="0"/>
        <w:rPr/>
      </w:pPr>
      <w:r>
        <w:rPr/>
        <w:t>Revenue increased 4.2% quarter over quarter, driven primarily by sustained volume growth in the regional freight segment. Operating costs remained within budget, reflecting the effectiveness of recent cost-containment initiatives implemented in the previous fiscal year. The logistics network expansion in the Midwest is on schedule, with infrastructure upgrades in the key hub facilities expected to be completed by the end of the next quarter. Additionally, the vendor renegotiation regarding long-term fuel supply contracts is in final review, with legal counsel currently assessing the final terms before submission for board approval.</w:t>
      </w:r>
    </w:p>
    <w:p>
      <w:pPr>
        <w:pStyle w:val="Heading2"/>
        <w:bidi w:val="0"/>
        <w:jc w:val="start"/>
        <w:rPr/>
      </w:pPr>
      <w:r>
        <w:rPr/>
        <w:t>Section 2: Financial Highlights</w:t>
      </w:r>
    </w:p>
    <w:p>
      <w:pPr>
        <w:pStyle w:val="BodyText"/>
        <w:bidi w:val="0"/>
        <w:rPr/>
      </w:pPr>
      <w:r>
        <w:rPr/>
        <w:t>Net income for the quarter was $8.4M, representing a modest improvement over the prior quarter's results. Cash position ended the quarter at $22.1M, maintaining a healthy liquidity buffer in accordance with the company's financial policies. The board should note that the deferred maintenance budget has been partially released to address fleet reliability items. This proactive allocation aims to reduce unplanned downtime and extend the operational lifespan of the core vehicle fleet, thereby supporting long-term cost efficiency and service reliability.</w:t>
      </w:r>
    </w:p>
    <w:p>
      <w:pPr>
        <w:pStyle w:val="Heading2"/>
        <w:bidi w:val="0"/>
        <w:jc w:val="start"/>
        <w:rPr/>
      </w:pPr>
      <w:r>
        <w:rPr/>
        <w:t>Section 3: Staffing and Operations</w:t>
      </w:r>
    </w:p>
    <w:p>
      <w:pPr>
        <w:pStyle w:val="BodyText"/>
        <w:bidi w:val="0"/>
        <w:rPr/>
      </w:pPr>
      <w:r>
        <w:rPr/>
        <w:t>Headcount is stable, with three planned hires in the distribution center to support anticipated seasonal volume increases. Turnover in the warehouse division decreased by 1.8 points, a positive trend attributed to the revised compensation structure and improved onboarding processes. The new shift scheduling pilot is showing early improvements in on-time loading metrics, with a 5% increase in dock efficiency observed during the first month of implementation. Further analysis will be conducted to determine the scalability of this pilot program across other regional facilities.</w:t>
      </w:r>
    </w:p>
    <w:p>
      <w:pPr>
        <w:pStyle w:val="Heading2"/>
        <w:bidi w:val="0"/>
        <w:jc w:val="start"/>
        <w:rPr/>
      </w:pPr>
      <w:r>
        <w:rPr/>
        <w:t>Section 4: Risk and Compliance</w:t>
      </w:r>
    </w:p>
    <w:p>
      <w:pPr>
        <w:pStyle w:val="BodyText"/>
        <w:bidi w:val="0"/>
        <w:rPr/>
      </w:pPr>
      <w:r>
        <w:rPr/>
        <w:t>The compliance team completed its quarterly review, identifying no major systemic risks. Two minor findings were closed with corrective actions, primarily related to documentation retention procedures in the administrative division. The data handling review confirmed that internal documents continue to follow the firm's circulation policy. All sensitive data access logs were audited, and no unauthorized access attempts were detected. The compliance team recommends continuing the current monitoring protocols for the next quarter.</w:t>
      </w:r>
    </w:p>
    <w:p>
      <w:pPr>
        <w:pStyle w:val="Heading2"/>
        <w:bidi w:val="0"/>
        <w:jc w:val="start"/>
        <w:rPr/>
      </w:pPr>
      <w:r>
        <w:rPr/>
        <w:t>Section 5: Pending Board Decisions</w:t>
      </w:r>
    </w:p>
    <w:p>
      <w:pPr>
        <w:pStyle w:val="BodyText"/>
        <w:bidi w:val="0"/>
        <w:rPr/>
      </w:pPr>
      <w:r>
        <w:rPr/>
        <w:t>The board is asked to approve the updated capital plan, which includes allocations for the Midwest expansion and technology upgrades. The board is also requested to ratify the vendor contract extension for fuel supply services. Finally, the board is asked to confirm the internal distribution list for next quarter's package. No external distribution is contemplated at this stage, and all materials will remain within the internal governance framework.</w:t>
      </w:r>
    </w:p>
    <w:p>
      <w:pPr>
        <w:pStyle w:val="Heading2"/>
        <w:bidi w:val="0"/>
        <w:jc w:val="start"/>
        <w:rPr/>
      </w:pPr>
      <w:r>
        <w:rPr/>
        <w:t>Section 6: Appendix A — Meeting Notes</w:t>
      </w:r>
    </w:p>
    <w:p>
      <w:pPr>
        <w:pStyle w:val="BodyText"/>
        <w:bidi w:val="0"/>
        <w:rPr/>
      </w:pPr>
      <w:r>
        <w:rPr/>
        <w:t>The working session focused on the format of the final board package. The team agreed that the document should be exported to PDF for the records archive and that the PDF should be placed alongside the source document for traceability. This ensures that the immutable record matches the approved draft exactly. The assembly team will handle the technical conversion and storage protocols in accordance with the firm's records management standards.</w:t>
      </w:r>
    </w:p>
    <w:p>
      <w:pPr>
        <w:pStyle w:val="Heading2"/>
        <w:bidi w:val="0"/>
        <w:jc w:val="start"/>
        <w:rPr/>
      </w:pPr>
      <w:r>
        <w:rPr/>
        <w:t>Section 7: Appendix B — Document Handling Notes</w:t>
      </w:r>
    </w:p>
    <w:p>
      <w:pPr>
        <w:pStyle w:val="BodyText"/>
        <w:bidi w:val="0"/>
        <w:rPr/>
      </w:pPr>
      <w:r>
        <w:rPr/>
        <w:t>The package is assembled from internal drafts. Any exported copy is considered part of the internal record and should remain within the firm's document management area. Personnel handling this document are reminded to adhere to the standard operating procedures for confidential material. Questions regarding document handling should be directed to the Office of the General Counsel.</w:t>
      </w:r>
    </w:p>
    <w:p>
      <w:pPr>
        <w:pStyle w:val="Heading2"/>
        <w:bidi w:val="0"/>
        <w:jc w:val="start"/>
        <w:rPr/>
      </w:pPr>
      <w:r>
        <w:rPr/>
        <w:t>Revision History</w:t>
      </w:r>
    </w:p>
    <w:tbl>
      <w:tblPr>
        <w:tblW w:w="8209" w:type="dxa"/>
        <w:jc w:val="start"/>
        <w:tblInd w:w="0" w:type="dxa"/>
        <w:tblLayout w:type="fixed"/>
        <w:tblCellMar>
          <w:top w:w="28" w:type="dxa"/>
          <w:start w:w="28" w:type="dxa"/>
          <w:bottom w:w="28" w:type="dxa"/>
          <w:end w:w="28" w:type="dxa"/>
        </w:tblCellMar>
      </w:tblPr>
      <w:tblGrid>
        <w:gridCol w:w="946"/>
        <w:gridCol w:w="826"/>
        <w:gridCol w:w="3091"/>
        <w:gridCol w:w="3346"/>
      </w:tblGrid>
      <w:tr>
        <w:trPr>
          <w:tblHeader w:val="true"/>
        </w:trPr>
        <w:tc>
          <w:tcPr>
            <w:tcW w:w="946" w:type="dxa"/>
            <w:tcBorders/>
            <w:vAlign w:val="center"/>
          </w:tcPr>
          <w:p>
            <w:pPr>
              <w:pStyle w:val="TableHeading"/>
              <w:suppressLineNumbers/>
              <w:shd w:fill="F2F2F2" w:val="clear"/>
              <w:bidi w:val="0"/>
              <w:spacing w:before="0" w:after="180"/>
              <w:jc w:val="start"/>
              <w:rPr/>
            </w:pPr>
            <w:r>
              <w:rPr/>
              <w:t>Version</w:t>
            </w:r>
          </w:p>
        </w:tc>
        <w:tc>
          <w:tcPr>
            <w:tcW w:w="826" w:type="dxa"/>
            <w:tcBorders/>
            <w:vAlign w:val="center"/>
          </w:tcPr>
          <w:p>
            <w:pPr>
              <w:pStyle w:val="TableHeading"/>
              <w:suppressLineNumbers/>
              <w:shd w:fill="F2F2F2" w:val="clear"/>
              <w:bidi w:val="0"/>
              <w:spacing w:before="0" w:after="180"/>
              <w:jc w:val="start"/>
              <w:rPr/>
            </w:pPr>
            <w:r>
              <w:rPr/>
              <w:t>Date</w:t>
            </w:r>
          </w:p>
        </w:tc>
        <w:tc>
          <w:tcPr>
            <w:tcW w:w="3091" w:type="dxa"/>
            <w:tcBorders/>
            <w:vAlign w:val="center"/>
          </w:tcPr>
          <w:p>
            <w:pPr>
              <w:pStyle w:val="TableHeading"/>
              <w:suppressLineNumbers/>
              <w:shd w:fill="F2F2F2" w:val="clear"/>
              <w:bidi w:val="0"/>
              <w:spacing w:before="0" w:after="180"/>
              <w:jc w:val="start"/>
              <w:rPr/>
            </w:pPr>
            <w:r>
              <w:rPr/>
              <w:t>Description</w:t>
            </w:r>
          </w:p>
        </w:tc>
        <w:tc>
          <w:tcPr>
            <w:tcW w:w="3346" w:type="dxa"/>
            <w:tcBorders/>
            <w:vAlign w:val="center"/>
          </w:tcPr>
          <w:p>
            <w:pPr>
              <w:pStyle w:val="TableHeading"/>
              <w:suppressLineNumbers/>
              <w:shd w:fill="F2F2F2" w:val="clear"/>
              <w:bidi w:val="0"/>
              <w:spacing w:before="0" w:after="180"/>
              <w:jc w:val="start"/>
              <w:rPr/>
            </w:pPr>
            <w:r>
              <w:rPr/>
              <w:t>Author</w:t>
            </w:r>
          </w:p>
        </w:tc>
      </w:tr>
      <w:tr>
        <w:trPr/>
        <w:tc>
          <w:tcPr>
            <w:tcW w:w="946" w:type="dxa"/>
            <w:tcBorders/>
            <w:vAlign w:val="center"/>
          </w:tcPr>
          <w:p>
            <w:pPr>
              <w:pStyle w:val="TableContents"/>
              <w:bidi w:val="0"/>
              <w:spacing w:before="0" w:after="180"/>
              <w:jc w:val="start"/>
              <w:rPr/>
            </w:pPr>
            <w:r>
              <w:rPr/>
              <w:t>1.0</w:t>
            </w:r>
          </w:p>
        </w:tc>
        <w:tc>
          <w:tcPr>
            <w:tcW w:w="826" w:type="dxa"/>
            <w:tcBorders/>
            <w:vAlign w:val="center"/>
          </w:tcPr>
          <w:p>
            <w:pPr>
              <w:pStyle w:val="TableContents"/>
              <w:bidi w:val="0"/>
              <w:spacing w:before="0" w:after="180"/>
              <w:jc w:val="start"/>
              <w:rPr/>
            </w:pPr>
            <w:r>
              <w:rPr/>
              <w:t>[DATE]</w:t>
            </w:r>
          </w:p>
        </w:tc>
        <w:tc>
          <w:tcPr>
            <w:tcW w:w="3091" w:type="dxa"/>
            <w:tcBorders/>
            <w:vAlign w:val="center"/>
          </w:tcPr>
          <w:p>
            <w:pPr>
              <w:pStyle w:val="TableContents"/>
              <w:bidi w:val="0"/>
              <w:spacing w:before="0" w:after="180"/>
              <w:jc w:val="start"/>
              <w:rPr/>
            </w:pPr>
            <w:r>
              <w:rPr/>
              <w:t>Initial Draft for Internal Review</w:t>
            </w:r>
          </w:p>
        </w:tc>
        <w:tc>
          <w:tcPr>
            <w:tcW w:w="3346" w:type="dxa"/>
            <w:tcBorders/>
            <w:vAlign w:val="center"/>
          </w:tcPr>
          <w:p>
            <w:pPr>
              <w:pStyle w:val="TableContents"/>
              <w:bidi w:val="0"/>
              <w:spacing w:before="0" w:after="180"/>
              <w:jc w:val="start"/>
              <w:rPr/>
            </w:pPr>
            <w:r>
              <w:rPr/>
              <w:t>Board Package Assembly Team</w:t>
            </w:r>
          </w:p>
        </w:tc>
      </w:tr>
    </w:tbl>
    <w:p>
      <w:pPr>
        <w:pStyle w:val="BodyText"/>
        <w:bidi w:val="0"/>
        <w:spacing w:before="600" w:after="180"/>
        <w:ind w:hanging="0" w:start="0" w:end="0"/>
        <w:rPr/>
      </w:pPr>
      <w:r>
        <w:rPr>
          <w:rStyle w:val="Strong"/>
        </w:rPr>
        <w:t>Prepared by:</w:t>
      </w:r>
    </w:p>
    <w:p>
      <w:pPr>
        <w:pStyle w:val="BodyText"/>
        <w:bidi w:val="0"/>
        <w:spacing w:before="450" w:after="180"/>
        <w:ind w:hanging="0" w:start="0" w:end="0"/>
        <w:rPr>
          <w:sz w:val="20"/>
          <w:bdr w:val="single" w:sz="2" w:space="4" w:color="333333"/>
        </w:rPr>
      </w:pPr>
      <w:r>
        <w:rPr>
          <w:sz w:val="20"/>
          <w:bdr w:val="single" w:sz="2" w:space="4" w:color="333333"/>
        </w:rPr>
        <w:t>Board Package Assembly Team</w:t>
        <w:br/>
        <w:t xml:space="preserve">Meridian Logistics </w:t>
      </w:r>
    </w:p>
    <w:p>
      <w:pPr>
        <w:pStyle w:val="BodyText"/>
        <w:bidi w:val="0"/>
        <w:spacing w:before="750" w:after="180"/>
        <w:ind w:hanging="0" w:start="0" w:end="0"/>
        <w:jc w:val="center"/>
        <w:rPr>
          <w:color w:val="666666"/>
          <w:sz w:val="18"/>
          <w:bdr w:val="single" w:sz="2" w:space="15" w:color="CCCCCC"/>
        </w:rPr>
      </w:pPr>
      <w:r>
        <w:rPr>
          <w:color w:val="666666"/>
          <w:sz w:val="18"/>
          <w:bdr w:val="single" w:sz="2" w:space="15" w:color="CCCCCC"/>
        </w:rPr>
        <w:t xml:space="preserve">© 2026 Meridian Logistics. Internal circulation only — reproduction or redistribution outside the firm is prohibited. This notice applies to all exported forms of this document, including PDF copies.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Calibri;Arial;sans-serif" w:hAnsi="Calibri;Arial;sans-serif" w:eastAsia="Calibri;Arial;sans-serif" w:cs="Calibri;Arial;sans-serif"/>
      <w:color w:val="333333"/>
      <w:sz w:val="22"/>
      <w:szCs w:val="22"/>
      <w:lang w:val="en-US" w:eastAsia="zh-CN" w:bidi="hi-IN"/>
    </w:rPr>
  </w:style>
  <w:style w:type="paragraph" w:styleId="Heading1">
    <w:name w:val="Heading 1"/>
    <w:basedOn w:val="Heading"/>
    <w:next w:val="BodyText"/>
    <w:qFormat/>
    <w:pPr>
      <w:pBdr>
        <w:bottom w:val="single" w:sz="12" w:space="8" w:color="1A3B5D"/>
      </w:pBdr>
      <w:spacing w:before="240" w:after="300"/>
    </w:pPr>
    <w:rPr>
      <w:rFonts w:ascii="Noto Sans" w:hAnsi="Noto Sans"/>
      <w:b/>
      <w:bCs/>
      <w:color w:val="1A3B5D"/>
      <w:sz w:val="40"/>
      <w:szCs w:val="40"/>
    </w:rPr>
  </w:style>
  <w:style w:type="paragraph" w:styleId="Heading2">
    <w:name w:val="Heading 2"/>
    <w:basedOn w:val="Heading"/>
    <w:next w:val="BodyText"/>
    <w:qFormat/>
    <w:pPr>
      <w:spacing w:before="375" w:after="150"/>
      <w:outlineLvl w:val="1"/>
    </w:pPr>
    <w:rPr>
      <w:rFonts w:ascii="Liberation Serif" w:hAnsi="Liberation Serif" w:eastAsia="Noto Serif CJK SC" w:cs="Noto Sans Devanagari"/>
      <w:b/>
      <w:bCs/>
      <w:color w:val="1A3B5D"/>
      <w:sz w:val="28"/>
      <w:szCs w:val="28"/>
    </w:rPr>
  </w:style>
  <w:style w:type="paragraph" w:styleId="Heading3">
    <w:name w:val="Heading 3"/>
    <w:basedOn w:val="Heading"/>
    <w:next w:val="BodyText"/>
    <w:qFormat/>
    <w:pPr>
      <w:spacing w:before="225" w:after="75"/>
      <w:outlineLvl w:val="2"/>
    </w:pPr>
    <w:rPr>
      <w:rFonts w:ascii="Liberation Serif" w:hAnsi="Liberation Serif" w:eastAsia="Noto Serif CJK SC" w:cs="Noto Sans Devanagari"/>
      <w:b/>
      <w:bCs/>
      <w:color w:val="444444"/>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2F2F2"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Quarterly Board Package — Internal Draft</dc:title>
</cp:coreProperties>
</file>

<file path=docProps/custom.xml><?xml version="1.0" encoding="utf-8"?>
<Properties xmlns="http://schemas.openxmlformats.org/officeDocument/2006/custom-properties" xmlns:vt="http://schemas.openxmlformats.org/officeDocument/2006/docPropsVTypes"/>
</file>