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50"/>
        <w:ind w:hanging="0" w:start="0" w:end="0"/>
        <w:jc w:val="center"/>
        <w:rPr>
          <w:b/>
          <w:caps/>
          <w:color w:val="CC0000"/>
          <w:spacing w:val="15"/>
          <w:sz w:val="20"/>
        </w:rPr>
      </w:pPr>
      <w:r>
        <w:rPr>
          <w:b/>
          <w:caps/>
          <w:color w:val="CC0000"/>
          <w:spacing w:val="15"/>
          <w:sz w:val="20"/>
        </w:rPr>
        <w:t>CONFIDENTIAL — DRAFT</w:t>
      </w:r>
    </w:p>
    <w:p>
      <w:pPr>
        <w:pStyle w:val="Heading1"/>
        <w:bidi w:val="0"/>
        <w:spacing w:before="0" w:after="300"/>
        <w:jc w:val="center"/>
        <w:rPr/>
      </w:pPr>
      <w:r>
        <w:rPr/>
        <w:t>Service Agreement</w:t>
      </w:r>
    </w:p>
    <w:p>
      <w:pPr>
        <w:pStyle w:val="BodyText"/>
        <w:bidi w:val="0"/>
        <w:rPr/>
      </w:pPr>
      <w:r>
        <w:rPr/>
        <w:t xml:space="preserve">This Agreement is entered into between </w:t>
      </w:r>
      <w:r>
        <w:rPr>
          <w:rStyle w:val="Strong"/>
        </w:rPr>
        <w:t>Acme Corp</w:t>
      </w:r>
      <w:r>
        <w:rPr/>
        <w:t xml:space="preserve"> ("Provider") and </w:t>
      </w:r>
      <w:r>
        <w:rPr>
          <w:rStyle w:val="Strong"/>
        </w:rPr>
        <w:t>Beta LLC</w:t>
      </w:r>
      <w:r>
        <w:rPr/>
        <w:t xml:space="preserve"> ("Client") effective as of the date of the last signature below.</w:t>
      </w:r>
    </w:p>
    <w:p>
      <w:pPr>
        <w:pStyle w:val="BodyText"/>
        <w:bidi w:val="0"/>
        <w:rPr/>
      </w:pPr>
      <w:r>
        <w:rPr>
          <w:rStyle w:val="Strong"/>
        </w:rPr>
        <w:t>WHEREAS</w:t>
      </w:r>
      <w:r>
        <w:rPr/>
        <w:t>, Provider is in the business of providing professional consulting services; and</w:t>
      </w:r>
    </w:p>
    <w:p>
      <w:pPr>
        <w:pStyle w:val="BodyText"/>
        <w:bidi w:val="0"/>
        <w:rPr/>
      </w:pPr>
      <w:r>
        <w:rPr>
          <w:rStyle w:val="Strong"/>
        </w:rPr>
        <w:t>WHEREAS</w:t>
      </w:r>
      <w:r>
        <w:rPr/>
        <w:t>, Client desires to engage Provider to perform such services, and Provider is willing to perform such services under the terms and conditions set forth herein;</w:t>
      </w:r>
    </w:p>
    <w:p>
      <w:pPr>
        <w:pStyle w:val="BodyText"/>
        <w:bidi w:val="0"/>
        <w:rPr/>
      </w:pPr>
      <w:r>
        <w:rPr>
          <w:rStyle w:val="Strong"/>
        </w:rPr>
        <w:t>NOW, THEREFORE</w:t>
      </w:r>
      <w:r>
        <w:rPr/>
        <w:t>, in consideration of the mutual covenants contained herein, the parties agree as follows:</w:t>
      </w:r>
    </w:p>
    <w:p>
      <w:pPr>
        <w:pStyle w:val="BodyTextsection-title"/>
        <w:bidi w:val="0"/>
        <w:rPr/>
      </w:pPr>
      <w:r>
        <w:rPr/>
        <w:t>1. Scope of Services.</w:t>
      </w:r>
    </w:p>
    <w:p>
      <w:pPr>
        <w:pStyle w:val="BodyText"/>
        <w:bidi w:val="0"/>
        <w:rPr/>
      </w:pPr>
      <w:r>
        <w:rPr/>
        <w:t xml:space="preserve">Provider shall provide consulting services as described in </w:t>
      </w:r>
      <w:r>
        <w:rPr>
          <w:rStyle w:val="Strong"/>
        </w:rPr>
        <w:t>Exhibit A</w:t>
      </w:r>
      <w:r>
        <w:rPr/>
        <w:t xml:space="preserve"> attached hereto and incorporated by reference. Provider shall perform the services in a professional and workmanlike manner, consistent with industry standards. Any changes to the scope of services must be agreed upon in writing by both parties via a Change Order.</w:t>
      </w:r>
    </w:p>
    <w:p>
      <w:pPr>
        <w:pStyle w:val="BodyTextsection-title"/>
        <w:bidi w:val="0"/>
        <w:rPr/>
      </w:pPr>
      <w:r>
        <w:rPr/>
        <w:t>2. Fees.</w:t>
      </w:r>
    </w:p>
    <w:p>
      <w:pPr>
        <w:pStyle w:val="BodyText"/>
        <w:bidi w:val="0"/>
        <w:rPr/>
      </w:pPr>
      <w:r>
        <w:rPr/>
        <w:t xml:space="preserve">Client shall pay Provider </w:t>
      </w:r>
      <w:r>
        <w:rPr>
          <w:rStyle w:val="Strong"/>
        </w:rPr>
        <w:t>$12,000 per month</w:t>
      </w:r>
      <w:r>
        <w:rPr/>
        <w:t>, due within 30 days of invoice. Invoices will be issued on the first business day of each month for services rendered in the preceding month. Late payments shall accrue interest at the rate of 1.5% per month or the maximum rate permitted by law, whichever is lower. All fees are exclusive of taxes, which shall be the responsibility of Client.</w:t>
      </w:r>
    </w:p>
    <w:p>
      <w:pPr>
        <w:pStyle w:val="BodyTextsection-title"/>
        <w:bidi w:val="0"/>
        <w:rPr/>
      </w:pPr>
      <w:r>
        <w:rPr/>
        <w:t>3. Confidentiality.</w:t>
      </w:r>
    </w:p>
    <w:p>
      <w:pPr>
        <w:pStyle w:val="BodyText"/>
        <w:bidi w:val="0"/>
        <w:rPr/>
      </w:pPr>
      <w:r>
        <w:rPr/>
        <w:t>Both parties agree to keep all non-public information confidential for a period of five (5) years from the date of disclosure. "Confidential Information" includes, but is not limited to, trade secrets, business plans, financial data, and customer lists. Neither party shall disclose Confidential Information to any third party without prior written consent, except to employees or contractors who have a need to know and are bound by confidentiality obligations no less restrictive than those herein.</w:t>
      </w:r>
    </w:p>
    <w:p>
      <w:pPr>
        <w:pStyle w:val="BodyTextsection-title"/>
        <w:bidi w:val="0"/>
        <w:rPr/>
      </w:pPr>
      <w:r>
        <w:rPr/>
        <w:t>4. Termination.</w:t>
      </w:r>
    </w:p>
    <w:p>
      <w:pPr>
        <w:pStyle w:val="BodyText"/>
        <w:bidi w:val="0"/>
        <w:rPr/>
      </w:pPr>
      <w:r>
        <w:rPr/>
        <w:t>Either party may terminate this Agreement with 60 days' written notice. Upon termination, Client shall pay for all services rendered up to the effective date of termination. Sections 3 (Confidentiality), 5 (Governing Law), and 7 (Indemnification) shall survive termination of this Agreement.</w:t>
      </w:r>
    </w:p>
    <w:p>
      <w:pPr>
        <w:pStyle w:val="BodyTextsection-title"/>
        <w:bidi w:val="0"/>
        <w:rPr/>
      </w:pPr>
      <w:r>
        <w:rPr/>
        <w:t>5. Governing Law.</w:t>
      </w:r>
    </w:p>
    <w:p>
      <w:pPr>
        <w:pStyle w:val="BodyText"/>
        <w:bidi w:val="0"/>
        <w:rPr/>
      </w:pPr>
      <w:r>
        <w:rPr/>
        <w:t xml:space="preserve">This Agreement shall be governed by and construed in accordance with the laws of the </w:t>
      </w:r>
      <w:r>
        <w:rPr>
          <w:rStyle w:val="Strong"/>
        </w:rPr>
        <w:t>State of Delaware</w:t>
      </w:r>
      <w:r>
        <w:rPr/>
        <w:t>, without regard to its conflict of laws principles. Any disputes arising under this Agreement shall be resolved exclusively in the state or federal courts located in Delaware.</w:t>
      </w:r>
    </w:p>
    <w:p>
      <w:pPr>
        <w:pStyle w:val="BodyTextsection-title"/>
        <w:bidi w:val="0"/>
        <w:rPr/>
      </w:pPr>
      <w:r>
        <w:rPr/>
        <w:t>6. Independent Contractor.</w:t>
      </w:r>
    </w:p>
    <w:p>
      <w:pPr>
        <w:pStyle w:val="BodyText"/>
        <w:bidi w:val="0"/>
        <w:rPr/>
      </w:pPr>
      <w:r>
        <w:rPr/>
        <w:t>Provider is an independent contractor. Nothing in this Agreement shall be construed to create a partnership, joint venture, agency, or employment relationship between the parties.</w:t>
      </w:r>
    </w:p>
    <w:p>
      <w:pPr>
        <w:pStyle w:val="BodyTextsection-title"/>
        <w:bidi w:val="0"/>
        <w:rPr/>
      </w:pPr>
      <w:r>
        <w:rPr/>
        <w:t>7. Indemnification.</w:t>
      </w:r>
    </w:p>
    <w:p>
      <w:pPr>
        <w:pStyle w:val="BodyText"/>
        <w:bidi w:val="0"/>
        <w:rPr/>
      </w:pPr>
      <w:r>
        <w:rPr/>
        <w:t>Provider shall indemnify and hold harmless Client from any third-party claims arising out of Provider's negligence or willful misconduct in the performance of services. Client shall indemnify and hold harmless Provider from any claims arising out of Client's use of the deliverables.</w:t>
      </w:r>
    </w:p>
    <w:p>
      <w:pPr>
        <w:pStyle w:val="BodyTextsection-title"/>
        <w:bidi w:val="0"/>
        <w:rPr/>
      </w:pPr>
      <w:r>
        <w:rPr/>
        <w:t>8. Entire Agreement.</w:t>
      </w:r>
    </w:p>
    <w:p>
      <w:pPr>
        <w:pStyle w:val="BodyText"/>
        <w:bidi w:val="0"/>
        <w:rPr/>
      </w:pPr>
      <w:r>
        <w:rPr/>
        <w:t>This Agreement, including Exhibit A, constitutes the entire agreement between the parties and supersedes all prior negotiations, representations, or agreements, whether written or oral. This Agreement may only be amended in writing signed by both parties.</w:t>
      </w:r>
    </w:p>
    <w:p>
      <w:pPr>
        <w:pStyle w:val="BodyTextsection-title"/>
        <w:bidi w:val="0"/>
        <w:rPr/>
      </w:pPr>
      <w:r>
        <w:rPr/>
        <w:t>9. Notices.</w:t>
      </w:r>
    </w:p>
    <w:p>
      <w:pPr>
        <w:pStyle w:val="BodyText"/>
        <w:bidi w:val="0"/>
        <w:rPr/>
      </w:pPr>
      <w:r>
        <w:rPr/>
        <w:t>All notices required under this Agreement must be in writing and delivered to the addresses listed below via certified mail, overnight courier, or email with confirmation of receipt.</w:t>
      </w:r>
    </w:p>
    <w:p>
      <w:pPr>
        <w:pStyle w:val="BodyText"/>
        <w:bidi w:val="0"/>
        <w:spacing w:before="450" w:after="180"/>
        <w:ind w:hanging="0" w:start="0" w:end="0"/>
        <w:rPr/>
      </w:pPr>
      <w:r>
        <w:rPr/>
        <w:t>IN WITNESS WHEREOF, the parties have executed this Agreement as of the date first written above.</w:t>
      </w:r>
    </w:p>
    <w:tbl>
      <w:tblPr>
        <w:tblW w:w="7337" w:type="dxa"/>
        <w:jc w:val="start"/>
        <w:tblInd w:w="0" w:type="dxa"/>
        <w:tblLayout w:type="fixed"/>
        <w:tblCellMar>
          <w:top w:w="0" w:type="dxa"/>
          <w:start w:w="0" w:type="dxa"/>
          <w:bottom w:w="0" w:type="dxa"/>
          <w:end w:w="0" w:type="dxa"/>
        </w:tblCellMar>
      </w:tblPr>
      <w:tblGrid>
        <w:gridCol w:w="3346"/>
        <w:gridCol w:w="3991"/>
      </w:tblGrid>
      <w:tr>
        <w:trPr/>
        <w:tc>
          <w:tcPr>
            <w:tcW w:w="3346" w:type="dxa"/>
            <w:tcBorders/>
            <w:vAlign w:val="center"/>
          </w:tcPr>
          <w:p>
            <w:pPr>
              <w:pStyle w:val="TableContents"/>
              <w:bidi w:val="0"/>
              <w:ind w:hanging="0" w:start="0" w:end="0"/>
              <w:jc w:val="start"/>
              <w:rPr/>
            </w:pPr>
            <w:r>
              <w:rPr>
                <w:rStyle w:val="Strong"/>
              </w:rPr>
              <w:t>Provider: Acme Corp</w:t>
            </w:r>
          </w:p>
          <w:p>
            <w:pPr>
              <w:pStyle w:val="TableContents"/>
              <w:bidi w:val="0"/>
              <w:spacing w:before="0" w:after="75"/>
              <w:ind w:hanging="0" w:start="0" w:end="300"/>
              <w:jc w:val="start"/>
              <w:rPr/>
            </w:pPr>
            <w:r>
              <w:rPr/>
              <w:t xml:space="preserve">By: </w:t>
            </w:r>
            <w:r>
              <w:rPr>
                <w:bdr w:val="single" w:sz="2" w:space="1" w:color="000000"/>
              </w:rPr>
              <w:t> </w:t>
            </w:r>
          </w:p>
          <w:p>
            <w:pPr>
              <w:pStyle w:val="BodyTextsig-label"/>
              <w:bidi w:val="0"/>
              <w:jc w:val="start"/>
              <w:rPr/>
            </w:pPr>
            <w:r>
              <w:rPr/>
              <w:t>Name: Jordan Lee</w:t>
            </w:r>
          </w:p>
          <w:p>
            <w:pPr>
              <w:pStyle w:val="BodyTextsig-label"/>
              <w:bidi w:val="0"/>
              <w:jc w:val="start"/>
              <w:rPr/>
            </w:pPr>
            <w:r>
              <w:rPr/>
              <w:t>Title: VP of Operations</w:t>
            </w:r>
          </w:p>
          <w:p>
            <w:pPr>
              <w:pStyle w:val="BodyTextsig-label"/>
              <w:bidi w:val="0"/>
              <w:spacing w:before="0" w:after="180"/>
              <w:ind w:hanging="0" w:start="0" w:end="0"/>
              <w:jc w:val="start"/>
              <w:rPr/>
            </w:pPr>
            <w:r>
              <w:rPr/>
              <w:t>Date: ____________________</w:t>
            </w:r>
          </w:p>
        </w:tc>
        <w:tc>
          <w:tcPr>
            <w:tcW w:w="3991" w:type="dxa"/>
            <w:tcBorders/>
            <w:vAlign w:val="center"/>
          </w:tcPr>
          <w:p>
            <w:pPr>
              <w:pStyle w:val="TableContents"/>
              <w:bidi w:val="0"/>
              <w:jc w:val="start"/>
              <w:rPr/>
            </w:pPr>
            <w:r>
              <w:rPr>
                <w:rStyle w:val="Strong"/>
              </w:rPr>
              <w:t>Client: Beta LLC</w:t>
            </w:r>
          </w:p>
          <w:p>
            <w:pPr>
              <w:pStyle w:val="TableContents"/>
              <w:bidi w:val="0"/>
              <w:spacing w:before="0" w:after="75"/>
              <w:ind w:hanging="0" w:start="0" w:end="300"/>
              <w:jc w:val="start"/>
              <w:rPr/>
            </w:pPr>
            <w:r>
              <w:rPr/>
              <w:t xml:space="preserve">By: </w:t>
            </w:r>
            <w:r>
              <w:rPr>
                <w:bdr w:val="single" w:sz="2" w:space="1" w:color="000000"/>
              </w:rPr>
              <w:t> </w:t>
            </w:r>
          </w:p>
          <w:p>
            <w:pPr>
              <w:pStyle w:val="BodyTextsig-label"/>
              <w:bidi w:val="0"/>
              <w:jc w:val="start"/>
              <w:rPr/>
            </w:pPr>
            <w:r>
              <w:rPr/>
              <w:t>Name: ______________</w:t>
            </w:r>
          </w:p>
          <w:p>
            <w:pPr>
              <w:pStyle w:val="BodyTextsig-label"/>
              <w:bidi w:val="0"/>
              <w:jc w:val="start"/>
              <w:rPr/>
            </w:pPr>
            <w:r>
              <w:rPr/>
              <w:t>Title: ______________</w:t>
            </w:r>
          </w:p>
          <w:p>
            <w:pPr>
              <w:pStyle w:val="BodyTextsig-label"/>
              <w:bidi w:val="0"/>
              <w:spacing w:before="0" w:after="180"/>
              <w:jc w:val="start"/>
              <w:rPr/>
            </w:pPr>
            <w:r>
              <w:rPr/>
              <w:t>Date: ____________________</w:t>
            </w:r>
          </w:p>
        </w:tc>
      </w:tr>
    </w:tbl>
    <w:p>
      <w:pPr>
        <w:pStyle w:val="BodyText"/>
        <w:bidi w:val="0"/>
        <w:spacing w:before="0" w:after="300"/>
        <w:ind w:hanging="0" w:start="0" w:end="0"/>
        <w:jc w:val="center"/>
        <w:rPr>
          <w:b/>
          <w:sz w:val="28"/>
        </w:rPr>
      </w:pPr>
      <w:r>
        <w:rPr>
          <w:b/>
          <w:sz w:val="28"/>
        </w:rPr>
        <w:t>EXHIBIT A</w:t>
        <w:br/>
        <w:t xml:space="preserve">SCOPE OF SERVICES </w:t>
      </w:r>
    </w:p>
    <w:tbl>
      <w:tblPr>
        <w:tblW w:w="9558" w:type="dxa"/>
        <w:jc w:val="start"/>
        <w:tblInd w:w="0" w:type="dxa"/>
        <w:tblLayout w:type="fixed"/>
        <w:tblCellMar>
          <w:top w:w="28" w:type="dxa"/>
          <w:start w:w="28" w:type="dxa"/>
          <w:bottom w:w="28" w:type="dxa"/>
          <w:end w:w="28" w:type="dxa"/>
        </w:tblCellMar>
      </w:tblPr>
      <w:tblGrid>
        <w:gridCol w:w="3076"/>
        <w:gridCol w:w="2866"/>
        <w:gridCol w:w="3616"/>
      </w:tblGrid>
      <w:tr>
        <w:trPr>
          <w:tblHeader w:val="true"/>
        </w:trPr>
        <w:tc>
          <w:tcPr>
            <w:tcW w:w="3076" w:type="dxa"/>
            <w:tcBorders/>
            <w:vAlign w:val="center"/>
          </w:tcPr>
          <w:p>
            <w:pPr>
              <w:pStyle w:val="TableHeading"/>
              <w:bidi w:val="0"/>
              <w:spacing w:before="0" w:after="180"/>
              <w:ind w:hanging="0" w:start="0" w:end="0"/>
              <w:jc w:val="start"/>
              <w:rPr/>
            </w:pPr>
            <w:r>
              <w:rPr/>
              <w:t>Service Item</w:t>
            </w:r>
          </w:p>
        </w:tc>
        <w:tc>
          <w:tcPr>
            <w:tcW w:w="2866" w:type="dxa"/>
            <w:tcBorders/>
            <w:vAlign w:val="center"/>
          </w:tcPr>
          <w:p>
            <w:pPr>
              <w:pStyle w:val="TableHeading"/>
              <w:bidi w:val="0"/>
              <w:spacing w:before="0" w:after="180"/>
              <w:ind w:hanging="0" w:start="0" w:end="0"/>
              <w:jc w:val="start"/>
              <w:rPr/>
            </w:pPr>
            <w:r>
              <w:rPr/>
              <w:t>Description</w:t>
            </w:r>
          </w:p>
        </w:tc>
        <w:tc>
          <w:tcPr>
            <w:tcW w:w="3616" w:type="dxa"/>
            <w:tcBorders/>
            <w:vAlign w:val="center"/>
          </w:tcPr>
          <w:p>
            <w:pPr>
              <w:pStyle w:val="TableHeading"/>
              <w:suppressLineNumbers/>
              <w:shd w:fill="F2F2F2" w:val="clear"/>
              <w:bidi w:val="0"/>
              <w:spacing w:before="0" w:after="180"/>
              <w:jc w:val="start"/>
              <w:rPr/>
            </w:pPr>
            <w:r>
              <w:rPr/>
              <w:t>Deliverables</w:t>
            </w:r>
          </w:p>
        </w:tc>
      </w:tr>
      <w:tr>
        <w:trPr/>
        <w:tc>
          <w:tcPr>
            <w:tcW w:w="3076" w:type="dxa"/>
            <w:tcBorders/>
            <w:vAlign w:val="center"/>
          </w:tcPr>
          <w:p>
            <w:pPr>
              <w:pStyle w:val="TableContents"/>
              <w:bidi w:val="0"/>
              <w:spacing w:before="0" w:after="180"/>
              <w:jc w:val="start"/>
              <w:rPr/>
            </w:pPr>
            <w:r>
              <w:rPr/>
              <w:t>Strategic Consulting</w:t>
            </w:r>
          </w:p>
        </w:tc>
        <w:tc>
          <w:tcPr>
            <w:tcW w:w="2866" w:type="dxa"/>
            <w:tcBorders/>
            <w:vAlign w:val="center"/>
          </w:tcPr>
          <w:p>
            <w:pPr>
              <w:pStyle w:val="TableContents"/>
              <w:bidi w:val="0"/>
              <w:spacing w:before="0" w:after="180"/>
              <w:jc w:val="start"/>
              <w:rPr/>
            </w:pPr>
            <w:r>
              <w:rPr/>
              <w:t>Assessment of current business processes and development of a three-year strategic roadmap.</w:t>
            </w:r>
          </w:p>
        </w:tc>
        <w:tc>
          <w:tcPr>
            <w:tcW w:w="3616" w:type="dxa"/>
            <w:tcBorders/>
            <w:vAlign w:val="center"/>
          </w:tcPr>
          <w:p>
            <w:pPr>
              <w:pStyle w:val="TableContents"/>
              <w:bidi w:val="0"/>
              <w:spacing w:before="0" w:after="180"/>
              <w:jc w:val="start"/>
              <w:rPr/>
            </w:pPr>
            <w:r>
              <w:rPr/>
              <w:t>Strategic Plan Document</w:t>
            </w:r>
          </w:p>
        </w:tc>
      </w:tr>
      <w:tr>
        <w:trPr/>
        <w:tc>
          <w:tcPr>
            <w:tcW w:w="3076" w:type="dxa"/>
            <w:tcBorders/>
            <w:vAlign w:val="center"/>
          </w:tcPr>
          <w:p>
            <w:pPr>
              <w:pStyle w:val="TableContents"/>
              <w:bidi w:val="0"/>
              <w:spacing w:before="0" w:after="180"/>
              <w:jc w:val="start"/>
              <w:rPr/>
            </w:pPr>
            <w:r>
              <w:rPr/>
              <w:t>Operational Analysis</w:t>
            </w:r>
          </w:p>
        </w:tc>
        <w:tc>
          <w:tcPr>
            <w:tcW w:w="2866" w:type="dxa"/>
            <w:tcBorders/>
            <w:vAlign w:val="center"/>
          </w:tcPr>
          <w:p>
            <w:pPr>
              <w:pStyle w:val="TableContents"/>
              <w:bidi w:val="0"/>
              <w:spacing w:before="0" w:after="180"/>
              <w:jc w:val="start"/>
              <w:rPr/>
            </w:pPr>
            <w:r>
              <w:rPr/>
              <w:t>Review of supply chain efficiency and identification of cost-saving opportunities.</w:t>
            </w:r>
          </w:p>
        </w:tc>
        <w:tc>
          <w:tcPr>
            <w:tcW w:w="3616" w:type="dxa"/>
            <w:tcBorders/>
            <w:vAlign w:val="center"/>
          </w:tcPr>
          <w:p>
            <w:pPr>
              <w:pStyle w:val="TableContents"/>
              <w:bidi w:val="0"/>
              <w:spacing w:before="0" w:after="180"/>
              <w:jc w:val="start"/>
              <w:rPr/>
            </w:pPr>
            <w:r>
              <w:rPr/>
              <w:t>Analysis Report &amp; Recommendations</w:t>
            </w:r>
          </w:p>
        </w:tc>
      </w:tr>
      <w:tr>
        <w:trPr/>
        <w:tc>
          <w:tcPr>
            <w:tcW w:w="3076" w:type="dxa"/>
            <w:tcBorders/>
            <w:vAlign w:val="center"/>
          </w:tcPr>
          <w:p>
            <w:pPr>
              <w:pStyle w:val="TableContents"/>
              <w:bidi w:val="0"/>
              <w:spacing w:before="0" w:after="180"/>
              <w:jc w:val="start"/>
              <w:rPr/>
            </w:pPr>
            <w:r>
              <w:rPr/>
              <w:t>Implementation Support</w:t>
            </w:r>
          </w:p>
        </w:tc>
        <w:tc>
          <w:tcPr>
            <w:tcW w:w="2866" w:type="dxa"/>
            <w:tcBorders/>
            <w:vAlign w:val="center"/>
          </w:tcPr>
          <w:p>
            <w:pPr>
              <w:pStyle w:val="TableContents"/>
              <w:bidi w:val="0"/>
              <w:spacing w:before="0" w:after="180"/>
              <w:jc w:val="start"/>
              <w:rPr/>
            </w:pPr>
            <w:r>
              <w:rPr/>
              <w:t>Guidance on executing key initiatives identified in the strategic plan.</w:t>
            </w:r>
          </w:p>
        </w:tc>
        <w:tc>
          <w:tcPr>
            <w:tcW w:w="3616" w:type="dxa"/>
            <w:tcBorders/>
            <w:vAlign w:val="center"/>
          </w:tcPr>
          <w:p>
            <w:pPr>
              <w:pStyle w:val="TableContents"/>
              <w:bidi w:val="0"/>
              <w:spacing w:before="0" w:after="180"/>
              <w:jc w:val="start"/>
              <w:rPr/>
            </w:pPr>
            <w:r>
              <w:rPr/>
              <w:t>Monthly Progress Reports</w:t>
            </w:r>
          </w:p>
        </w:tc>
      </w:tr>
    </w:tbl>
    <w:p>
      <w:pPr>
        <w:pStyle w:val="BodyText"/>
        <w:bidi w:val="0"/>
        <w:spacing w:before="750" w:after="180"/>
        <w:ind w:hanging="0" w:start="0" w:end="0"/>
        <w:jc w:val="center"/>
        <w:rPr>
          <w:color w:val="555555"/>
          <w:sz w:val="18"/>
        </w:rPr>
      </w:pPr>
      <w:r>
        <w:rPr>
          <w:color w:val="555555"/>
          <w:sz w:val="18"/>
        </w:rPr>
        <w:t>Acme Corp &amp; Beta LLC Service Agreement | Draft v1.0 | Confidential</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240" w:after="450"/>
      <w:jc w:val="center"/>
    </w:pPr>
    <w:rPr>
      <w:rFonts w:ascii="Noto Sans" w:hAnsi="Noto Sans"/>
      <w:b/>
      <w:bCs/>
      <w:sz w:val="36"/>
      <w:szCs w:val="36"/>
    </w:rPr>
  </w:style>
  <w:style w:type="paragraph" w:styleId="Heading2">
    <w:name w:val="Heading 2"/>
    <w:basedOn w:val="Heading"/>
    <w:next w:val="BodyText"/>
    <w:qFormat/>
    <w:pPr>
      <w:spacing w:before="300" w:after="150"/>
      <w:outlineLvl w:val="1"/>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tion-title">
    <w:name w:val="Body Text.section-title"/>
    <w:basedOn w:val="BodyText"/>
    <w:qFormat/>
    <w:pPr>
      <w:spacing w:before="225" w:after="75"/>
    </w:pPr>
    <w:rPr>
      <w:b/>
      <w:bCs/>
    </w:rPr>
  </w:style>
  <w:style w:type="paragraph" w:styleId="TableHeading">
    <w:name w:val="Table Heading"/>
    <w:basedOn w:val="TableContents"/>
    <w:qFormat/>
    <w:pPr>
      <w:suppressLineNumbers/>
      <w:shd w:fill="F2F2F2" w:val="clear"/>
      <w:jc w:val="start"/>
    </w:pPr>
    <w:rPr>
      <w:b/>
      <w:bCs/>
    </w:rPr>
  </w:style>
  <w:style w:type="paragraph" w:styleId="BodyTextsig-label">
    <w:name w:val="Body Text.sig-label"/>
    <w:basedOn w:val="TableContents"/>
    <w:qFormat/>
    <w:pPr/>
    <w:rPr>
      <w:color w:val="333333"/>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Service Agreement - Acme Corp and Beta LLC</dc:title>
</cp:coreProperties>
</file>

<file path=docProps/custom.xml><?xml version="1.0" encoding="utf-8"?>
<Properties xmlns="http://schemas.openxmlformats.org/officeDocument/2006/custom-properties" xmlns:vt="http://schemas.openxmlformats.org/officeDocument/2006/docPropsVTypes"/>
</file>