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75"/>
        <w:ind w:hanging="0" w:start="0" w:end="0"/>
        <w:jc w:val="center"/>
        <w:rPr>
          <w:b/>
          <w:color w:val="8B0000"/>
          <w:sz w:val="20"/>
          <w:bdr w:val="single" w:sz="12" w:space="8" w:color="000000"/>
        </w:rPr>
      </w:pPr>
      <w:r>
        <w:rPr>
          <w:b/>
          <w:color w:val="8B0000"/>
          <w:sz w:val="20"/>
          <w:bdr w:val="single" w:sz="12" w:space="8" w:color="000000"/>
        </w:rPr>
        <w:t>CONFIDENTIAL — CLIENT NDA TEMPLATE</w:t>
      </w:r>
    </w:p>
    <w:p>
      <w:pPr>
        <w:pStyle w:val="BodyText"/>
        <w:bidi w:val="0"/>
        <w:spacing w:before="75" w:after="75"/>
        <w:ind w:hanging="0" w:start="75" w:end="75"/>
        <w:jc w:val="center"/>
        <w:rPr>
          <w:b/>
          <w:sz w:val="36"/>
          <w:bdr w:val="single" w:sz="12" w:space="8" w:color="000000"/>
        </w:rPr>
      </w:pPr>
      <w:r>
        <w:rPr>
          <w:b/>
          <w:sz w:val="36"/>
          <w:bdr w:val="single" w:sz="12" w:space="8" w:color="000000"/>
        </w:rPr>
        <w:t>Northwind Analytics LLC</w:t>
      </w:r>
    </w:p>
    <w:p>
      <w:pPr>
        <w:pStyle w:val="BodyText"/>
        <w:bidi w:val="0"/>
        <w:spacing w:before="150" w:after="150"/>
        <w:ind w:hanging="0" w:start="150" w:end="150"/>
        <w:jc w:val="center"/>
        <w:rPr>
          <w:b/>
          <w:sz w:val="28"/>
          <w:bdr w:val="single" w:sz="12" w:space="8" w:color="000000"/>
        </w:rPr>
      </w:pPr>
      <w:r>
        <w:rPr>
          <w:b/>
          <w:sz w:val="28"/>
          <w:bdr w:val="single" w:sz="12" w:space="8" w:color="000000"/>
        </w:rPr>
        <w:t>Non-Disclosure Agreement Template</w:t>
      </w:r>
    </w:p>
    <w:p>
      <w:pPr>
        <w:pStyle w:val="BodyText"/>
        <w:bidi w:val="0"/>
        <w:spacing w:before="0" w:after="300"/>
        <w:jc w:val="center"/>
        <w:rPr/>
      </w:pPr>
      <w:r>
        <w:rPr>
          <w:rStyle w:val="Emphasis"/>
          <w:bdr w:val="single" w:sz="12" w:space="8" w:color="000000"/>
        </w:rPr>
        <w:t>Prepared by Legal Department</w:t>
      </w:r>
    </w:p>
    <w:p>
      <w:pPr>
        <w:pStyle w:val="BodyText"/>
        <w:bidi w:val="0"/>
        <w:spacing w:before="0" w:after="300"/>
        <w:jc w:val="center"/>
        <w:rPr/>
      </w:pPr>
      <w:r>
        <w:rPr>
          <w:rStyle w:val="Strong"/>
          <w:bdr w:val="single" w:sz="12" w:space="8" w:color="000000"/>
        </w:rPr>
        <w:t>Document ID:</w:t>
      </w:r>
      <w:r>
        <w:rPr>
          <w:bdr w:val="single" w:sz="12" w:space="8" w:color="000000"/>
        </w:rPr>
        <w:t xml:space="preserve"> NW-LEGAL-NDA-2025-004</w:t>
        <w:br/>
      </w:r>
      <w:r>
        <w:rPr>
          <w:rStyle w:val="Strong"/>
          <w:bdr w:val="single" w:sz="12" w:space="8" w:color="000000"/>
        </w:rPr>
        <w:t>Version:</w:t>
      </w:r>
      <w:r>
        <w:rPr>
          <w:bdr w:val="single" w:sz="12" w:space="8" w:color="000000"/>
        </w:rPr>
        <w:t xml:space="preserve"> 2.1</w:t>
        <w:br/>
      </w:r>
      <w:r>
        <w:rPr>
          <w:rStyle w:val="Strong"/>
          <w:bdr w:val="single" w:sz="12" w:space="8" w:color="000000"/>
        </w:rPr>
        <w:t>Date:</w:t>
      </w:r>
      <w:r>
        <w:rPr>
          <w:bdr w:val="single" w:sz="12" w:space="8" w:color="000000"/>
        </w:rPr>
        <w:t xml:space="preserve"> October 2023</w:t>
      </w:r>
    </w:p>
    <w:p>
      <w:pPr>
        <w:pStyle w:val="BodyText"/>
        <w:bidi w:val="0"/>
        <w:rPr/>
      </w:pPr>
      <w:r>
        <w:rPr>
          <w:rStyle w:val="Strong"/>
        </w:rPr>
        <w:t>Purpose:</w:t>
      </w:r>
      <w:r>
        <w:rPr/>
        <w:t xml:space="preserve"> This template contains proprietary negotiation terms, fee schedules, and security clauses shared only with approved vendors. It is intended to standardize the protection of sensitive information exchanged during commercial engagements between Northwind Analytics LLC (hereinafter "Disclosing Party") and its partners (hereinafter "Receiving Party").</w:t>
      </w:r>
    </w:p>
    <w:p>
      <w:pPr>
        <w:pStyle w:val="Heading1"/>
        <w:bidi w:val="0"/>
        <w:jc w:val="start"/>
        <w:rPr/>
      </w:pPr>
      <w:r>
        <w:rPr/>
        <w:t>1. Confidential Information</w:t>
      </w:r>
    </w:p>
    <w:p>
      <w:pPr>
        <w:pStyle w:val="BodyText"/>
        <w:bidi w:val="0"/>
        <w:rPr/>
      </w:pPr>
      <w:r>
        <w:rPr/>
        <w:t>The Receiving Party agrees that all business, technical, and security information disclosed by Northwind Analytics LLC, including source-code architecture notes and client data handling rules, is confidential and may not be disclosed to any third party. This definition includes, but is not limited to, trade secrets, financial data, customer lists, product roadmaps, and any information marked as "Confidential" or "Proprietary."</w:t>
      </w:r>
    </w:p>
    <w:p>
      <w:pPr>
        <w:pStyle w:val="Heading1"/>
        <w:bidi w:val="0"/>
        <w:jc w:val="start"/>
        <w:rPr/>
      </w:pPr>
      <w:r>
        <w:rPr/>
        <w:t>2. Proprietary Terms</w:t>
      </w:r>
    </w:p>
    <w:p>
      <w:pPr>
        <w:pStyle w:val="BodyText"/>
        <w:bidi w:val="0"/>
        <w:rPr/>
      </w:pPr>
      <w:r>
        <w:rPr/>
        <w:t>The following specific proprietary assets and frameworks are subject to the strictest level of protection under this agreement:</w:t>
      </w:r>
    </w:p>
    <w:p>
      <w:pPr>
        <w:pStyle w:val="BodyText"/>
        <w:numPr>
          <w:ilvl w:val="0"/>
          <w:numId w:val="1"/>
        </w:numPr>
        <w:tabs>
          <w:tab w:val="clear" w:pos="1134"/>
          <w:tab w:val="left" w:pos="1843" w:leader="none"/>
        </w:tabs>
        <w:bidi w:val="0"/>
        <w:spacing w:before="0" w:after="0"/>
        <w:ind w:hanging="283" w:start="1843"/>
        <w:rPr/>
      </w:pPr>
      <w:r>
        <w:rPr/>
        <w:t xml:space="preserve">Per-seat license fee schedule (2025) </w:t>
      </w:r>
    </w:p>
    <w:p>
      <w:pPr>
        <w:pStyle w:val="BodyText"/>
        <w:numPr>
          <w:ilvl w:val="0"/>
          <w:numId w:val="1"/>
        </w:numPr>
        <w:tabs>
          <w:tab w:val="clear" w:pos="1134"/>
          <w:tab w:val="left" w:pos="1843" w:leader="none"/>
        </w:tabs>
        <w:bidi w:val="0"/>
        <w:spacing w:before="0" w:after="0"/>
        <w:ind w:hanging="283" w:start="1843"/>
        <w:rPr/>
      </w:pPr>
      <w:r>
        <w:rPr/>
        <w:t xml:space="preserve">Security audit response template </w:t>
      </w:r>
    </w:p>
    <w:p>
      <w:pPr>
        <w:pStyle w:val="BodyText"/>
        <w:numPr>
          <w:ilvl w:val="0"/>
          <w:numId w:val="1"/>
        </w:numPr>
        <w:tabs>
          <w:tab w:val="clear" w:pos="1134"/>
          <w:tab w:val="left" w:pos="1843" w:leader="none"/>
        </w:tabs>
        <w:bidi w:val="0"/>
        <w:spacing w:before="0" w:after="0"/>
        <w:ind w:hanging="283" w:start="1843"/>
        <w:rPr/>
      </w:pPr>
      <w:r>
        <w:rPr/>
        <w:t xml:space="preserve">Incident escalation matrix </w:t>
      </w:r>
    </w:p>
    <w:p>
      <w:pPr>
        <w:pStyle w:val="BodyText"/>
        <w:numPr>
          <w:ilvl w:val="0"/>
          <w:numId w:val="1"/>
        </w:numPr>
        <w:tabs>
          <w:tab w:val="clear" w:pos="1134"/>
          <w:tab w:val="left" w:pos="1843" w:leader="none"/>
        </w:tabs>
        <w:bidi w:val="0"/>
        <w:ind w:hanging="283" w:start="1843"/>
        <w:rPr/>
      </w:pPr>
      <w:r>
        <w:rPr/>
        <w:t xml:space="preserve">Model deployment checklist </w:t>
      </w:r>
    </w:p>
    <w:p>
      <w:pPr>
        <w:pStyle w:val="Heading1"/>
        <w:bidi w:val="0"/>
        <w:jc w:val="start"/>
        <w:rPr/>
      </w:pPr>
      <w:r>
        <w:rPr/>
        <w:t>3. Security Requirements</w:t>
      </w:r>
    </w:p>
    <w:p>
      <w:pPr>
        <w:pStyle w:val="BodyText"/>
        <w:bidi w:val="0"/>
        <w:rPr/>
      </w:pPr>
      <w:r>
        <w:rPr/>
        <w:t>The Receiving Party must store confidential information in encrypted storage and limit access to personnel who have signed this agreement. Access controls must adhere to the principle of least privilege. All digital files containing confidential information must be encrypted at rest using AES-256 or higher standards. Physical documents must be stored in locked cabinets within restricted-access areas. The Receiving Party shall implement reasonable administrative, technical, and physical safeguards to prevent unauthorized access, use, or disclosure.</w:t>
      </w:r>
    </w:p>
    <w:p>
      <w:pPr>
        <w:pStyle w:val="Heading1"/>
        <w:bidi w:val="0"/>
        <w:jc w:val="start"/>
        <w:rPr/>
      </w:pPr>
      <w:r>
        <w:rPr/>
        <w:t>4. Duration</w:t>
      </w:r>
    </w:p>
    <w:p>
      <w:pPr>
        <w:pStyle w:val="BodyText"/>
        <w:bidi w:val="0"/>
        <w:rPr/>
      </w:pPr>
      <w:r>
        <w:rPr/>
        <w:t>These obligations remain in effect for five (5) years after termination of the underlying commercial agreement. Notwithstanding the foregoing, obligations regarding trade secrets shall survive for as long as such information remains a trade secret under applicable law. The termination of this Agreement shall not relieve the Receiving Party of its obligations regarding information already disclosed.</w:t>
      </w:r>
    </w:p>
    <w:p>
      <w:pPr>
        <w:pStyle w:val="Heading1"/>
        <w:bidi w:val="0"/>
        <w:jc w:val="start"/>
        <w:rPr/>
      </w:pPr>
      <w:r>
        <w:rPr/>
        <w:t>5. Remedies</w:t>
      </w:r>
    </w:p>
    <w:p>
      <w:pPr>
        <w:pStyle w:val="BodyText"/>
        <w:bidi w:val="0"/>
        <w:rPr/>
      </w:pPr>
      <w:r>
        <w:rPr/>
        <w:t>Any breach entitles Northwind Analytics LLC to injunctive relief and monetary damages. The Receiving Party acknowledges that a breach of this Agreement may cause irreparable harm for which monetary damages would be inadequate. Therefore, Northwind Analytics LLC shall be entitled to seek specific performance and injunctive relief in addition to any other remedies available at law or in equity.</w:t>
      </w:r>
    </w:p>
    <w:p>
      <w:pPr>
        <w:pStyle w:val="Heading1"/>
        <w:bidi w:val="0"/>
        <w:jc w:val="start"/>
        <w:rPr/>
      </w:pPr>
      <w:r>
        <w:rPr/>
        <w:t>6. Return of Materials</w:t>
      </w:r>
    </w:p>
    <w:p>
      <w:pPr>
        <w:pStyle w:val="BodyText"/>
        <w:bidi w:val="0"/>
        <w:rPr/>
      </w:pPr>
      <w:r>
        <w:rPr/>
        <w:t>Upon the written request of Northwind Analytics LLC, the Receiving Party shall promptly return or destroy all documents, files, and other materials (including copies) containing Confidential Information. The Receiving Party shall certify in writing the destruction of such materials within ten (10) business days of the request.</w:t>
      </w:r>
    </w:p>
    <w:p>
      <w:pPr>
        <w:pStyle w:val="Heading1"/>
        <w:bidi w:val="0"/>
        <w:jc w:val="start"/>
        <w:rPr/>
      </w:pPr>
      <w:r>
        <w:rPr/>
        <w:t>7. General Provisions</w:t>
      </w:r>
    </w:p>
    <w:p>
      <w:pPr>
        <w:pStyle w:val="BodyText"/>
        <w:bidi w:val="0"/>
        <w:rPr/>
      </w:pPr>
      <w:r>
        <w:rPr/>
        <w:t>This Agreement constitutes the entire agreement between the parties with respect to the subject matter hereof. Any amendments must be made in writing and signed by authorized representatives of both parties. This Agreement shall be governed by and construed in accordance with the laws of the State of Delaware, without regard to its conflict of laws principles.</w:t>
      </w:r>
    </w:p>
    <w:p>
      <w:pPr>
        <w:pStyle w:val="Heading2"/>
        <w:keepLines/>
        <w:bidi w:val="0"/>
        <w:spacing w:before="600" w:after="150"/>
        <w:ind w:hanging="0" w:start="0" w:end="0"/>
        <w:jc w:val="start"/>
        <w:rPr/>
      </w:pPr>
      <w:r>
        <w:rPr/>
        <w:t>Authorization</w:t>
      </w:r>
    </w:p>
    <w:p>
      <w:pPr>
        <w:pStyle w:val="BodyText"/>
        <w:keepLines/>
        <w:bidi w:val="0"/>
        <w:spacing w:before="600" w:after="150"/>
        <w:rPr/>
      </w:pPr>
      <w:r>
        <w:rPr/>
        <w:t>By signing below, the parties acknowledge that they have read, understood, and agree to be bound by the terms of this Non-Disclosure Agreement.</w:t>
      </w:r>
    </w:p>
    <w:tbl>
      <w:tblPr>
        <w:tblW w:w="4640" w:type="dxa"/>
        <w:jc w:val="start"/>
        <w:tblInd w:w="0" w:type="dxa"/>
        <w:tblLayout w:type="fixed"/>
        <w:tblCellMar>
          <w:top w:w="28" w:type="dxa"/>
          <w:start w:w="28" w:type="dxa"/>
          <w:bottom w:w="28" w:type="dxa"/>
          <w:end w:w="28" w:type="dxa"/>
        </w:tblCellMar>
      </w:tblPr>
      <w:tblGrid>
        <w:gridCol w:w="2365"/>
        <w:gridCol w:w="2275"/>
      </w:tblGrid>
      <w:tr>
        <w:trPr/>
        <w:tc>
          <w:tcPr>
            <w:tcW w:w="2365" w:type="dxa"/>
            <w:tcBorders/>
            <w:vAlign w:val="center"/>
          </w:tcPr>
          <w:p>
            <w:pPr>
              <w:pStyle w:val="TableHeading"/>
              <w:suppressLineNumbers/>
              <w:shd w:fill="F2F2F2" w:val="clear"/>
              <w:bidi w:val="0"/>
              <w:spacing w:before="0" w:after="150"/>
              <w:jc w:val="start"/>
              <w:rPr/>
            </w:pPr>
            <w:r>
              <w:rPr/>
              <w:t>Northwind Analytics LLC</w:t>
            </w:r>
          </w:p>
        </w:tc>
        <w:tc>
          <w:tcPr>
            <w:tcW w:w="2275" w:type="dxa"/>
            <w:tcBorders/>
            <w:vAlign w:val="center"/>
          </w:tcPr>
          <w:p>
            <w:pPr>
              <w:pStyle w:val="TableHeading"/>
              <w:suppressLineNumbers/>
              <w:shd w:fill="F2F2F2" w:val="clear"/>
              <w:bidi w:val="0"/>
              <w:spacing w:before="0" w:after="150"/>
              <w:jc w:val="start"/>
              <w:rPr/>
            </w:pPr>
            <w:r>
              <w:rPr/>
              <w:t>Receiving Party</w:t>
            </w:r>
          </w:p>
        </w:tc>
      </w:tr>
      <w:tr>
        <w:trPr/>
        <w:tc>
          <w:tcPr>
            <w:tcW w:w="2365" w:type="dxa"/>
            <w:tcBorders/>
            <w:vAlign w:val="center"/>
          </w:tcPr>
          <w:p>
            <w:pPr>
              <w:pStyle w:val="TableContents"/>
              <w:bidi w:val="0"/>
              <w:spacing w:before="450" w:after="150"/>
              <w:ind w:hanging="0" w:start="0" w:end="0"/>
              <w:jc w:val="start"/>
              <w:rPr/>
            </w:pPr>
            <w:r>
              <w:rPr>
                <w:rStyle w:val="Strong"/>
                <w:sz w:val="20"/>
                <w:bdr w:val="single" w:sz="2" w:space="4" w:color="000000"/>
              </w:rPr>
              <w:t>Name:</w:t>
            </w:r>
            <w:r>
              <w:rPr>
                <w:sz w:val="20"/>
                <w:bdr w:val="single" w:sz="2" w:space="4" w:color="000000"/>
              </w:rPr>
              <w:t xml:space="preserve"> [AUTHORIZED_SIGNATORY_NAME]</w:t>
              <w:br/>
            </w:r>
            <w:r>
              <w:rPr>
                <w:rStyle w:val="Strong"/>
                <w:sz w:val="20"/>
                <w:bdr w:val="single" w:sz="2" w:space="4" w:color="000000"/>
              </w:rPr>
              <w:t>Title:</w:t>
            </w:r>
            <w:r>
              <w:rPr>
                <w:sz w:val="20"/>
                <w:bdr w:val="single" w:sz="2" w:space="4" w:color="000000"/>
              </w:rPr>
              <w:t xml:space="preserve"> [TITLE]</w:t>
              <w:br/>
            </w:r>
            <w:r>
              <w:rPr>
                <w:rStyle w:val="Strong"/>
                <w:sz w:val="20"/>
                <w:bdr w:val="single" w:sz="2" w:space="4" w:color="000000"/>
              </w:rPr>
              <w:t>Date:</w:t>
            </w:r>
            <w:r>
              <w:rPr>
                <w:sz w:val="20"/>
                <w:bdr w:val="single" w:sz="2" w:space="4" w:color="000000"/>
              </w:rPr>
              <w:t xml:space="preserve"> [DATE] </w:t>
            </w:r>
          </w:p>
        </w:tc>
        <w:tc>
          <w:tcPr>
            <w:tcW w:w="2275" w:type="dxa"/>
            <w:tcBorders/>
            <w:vAlign w:val="center"/>
          </w:tcPr>
          <w:p>
            <w:pPr>
              <w:pStyle w:val="TableContents"/>
              <w:bidi w:val="0"/>
              <w:spacing w:before="450" w:after="150"/>
              <w:ind w:hanging="0" w:start="0" w:end="0"/>
              <w:jc w:val="start"/>
              <w:rPr/>
            </w:pPr>
            <w:r>
              <w:rPr>
                <w:rStyle w:val="Strong"/>
                <w:sz w:val="20"/>
                <w:bdr w:val="single" w:sz="2" w:space="4" w:color="000000"/>
              </w:rPr>
              <w:t>Name:</w:t>
            </w:r>
            <w:r>
              <w:rPr>
                <w:sz w:val="20"/>
                <w:bdr w:val="single" w:sz="2" w:space="4" w:color="000000"/>
              </w:rPr>
              <w:t xml:space="preserve"> [RECIPIENT_SIGNATORY_NAME]</w:t>
              <w:br/>
            </w:r>
            <w:r>
              <w:rPr>
                <w:rStyle w:val="Strong"/>
                <w:sz w:val="20"/>
                <w:bdr w:val="single" w:sz="2" w:space="4" w:color="000000"/>
              </w:rPr>
              <w:t>Title:</w:t>
            </w:r>
            <w:r>
              <w:rPr>
                <w:sz w:val="20"/>
                <w:bdr w:val="single" w:sz="2" w:space="4" w:color="000000"/>
              </w:rPr>
              <w:t xml:space="preserve"> [TITLE]</w:t>
              <w:br/>
            </w:r>
            <w:r>
              <w:rPr>
                <w:rStyle w:val="Strong"/>
                <w:sz w:val="20"/>
                <w:bdr w:val="single" w:sz="2" w:space="4" w:color="000000"/>
              </w:rPr>
              <w:t>Date:</w:t>
            </w:r>
            <w:r>
              <w:rPr>
                <w:sz w:val="20"/>
                <w:bdr w:val="single" w:sz="2" w:space="4" w:color="000000"/>
              </w:rPr>
              <w:t xml:space="preserve"> [DATE] </w:t>
            </w:r>
          </w:p>
        </w:tc>
      </w:tr>
    </w:tbl>
    <w:p>
      <w:pPr>
        <w:pStyle w:val="BodyText"/>
        <w:bidi w:val="0"/>
        <w:spacing w:before="750" w:after="150"/>
        <w:ind w:hanging="0" w:start="0" w:end="0"/>
        <w:jc w:val="center"/>
        <w:rPr/>
      </w:pPr>
      <w:r>
        <w:rPr>
          <w:rStyle w:val="Strong"/>
          <w:color w:val="555555"/>
          <w:sz w:val="18"/>
          <w:bdr w:val="single" w:sz="2" w:space="8" w:color="CCCCCC"/>
        </w:rPr>
        <w:t>Authorized use only. Do not redistribute.</w:t>
      </w:r>
    </w:p>
    <w:p>
      <w:pPr>
        <w:pStyle w:val="BodyText"/>
        <w:bidi w:val="0"/>
        <w:spacing w:before="750" w:after="150"/>
        <w:jc w:val="center"/>
        <w:rPr>
          <w:color w:val="555555"/>
          <w:sz w:val="18"/>
          <w:bdr w:val="single" w:sz="2" w:space="8" w:color="CCCCCC"/>
        </w:rPr>
      </w:pPr>
      <w:r>
        <w:rPr>
          <w:color w:val="555555"/>
          <w:sz w:val="18"/>
          <w:bdr w:val="single" w:sz="2" w:space="8" w:color="CCCCCC"/>
        </w:rPr>
        <w:t>Northwind Analytics LLC | Legal Department | 123 Innovation Drive, Suite 400, Wilmington, DE 19801</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Arial">
    <w:altName w:val="sans-serif"/>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134" w:after="1134"/>
      <w:ind w:start="1134" w:end="1134"/>
    </w:pPr>
    <w:rPr>
      <w:rFonts w:ascii="Times New Roman;Times;serif" w:hAnsi="Times New Roman;Times;serif" w:eastAsia="Times New Roman;Times;serif" w:cs="Times New Roman;Times;serif"/>
      <w:color w:val="000000"/>
      <w:sz w:val="24"/>
      <w:szCs w:val="24"/>
      <w:lang w:val="en-US" w:eastAsia="zh-CN" w:bidi="hi-IN"/>
    </w:rPr>
  </w:style>
  <w:style w:type="paragraph" w:styleId="Heading1">
    <w:name w:val="Heading 1"/>
    <w:basedOn w:val="Heading"/>
    <w:next w:val="BodyText"/>
    <w:qFormat/>
    <w:pPr>
      <w:pBdr>
        <w:bottom w:val="single" w:sz="2" w:space="4" w:color="CCCCCC"/>
      </w:pBdr>
      <w:spacing w:before="300" w:after="150"/>
    </w:pPr>
    <w:rPr>
      <w:rFonts w:ascii="Arial;sans-serif" w:hAnsi="Arial;sans-serif" w:eastAsia="Arial;sans-serif" w:cs="Arial;sans-serif"/>
      <w:b/>
      <w:bCs/>
      <w:color w:val="2E2E2E"/>
      <w:sz w:val="32"/>
      <w:szCs w:val="32"/>
    </w:rPr>
  </w:style>
  <w:style w:type="paragraph" w:styleId="Heading2">
    <w:name w:val="Heading 2"/>
    <w:basedOn w:val="Heading"/>
    <w:next w:val="BodyText"/>
    <w:qFormat/>
    <w:pPr>
      <w:spacing w:before="300" w:after="150"/>
      <w:outlineLvl w:val="1"/>
    </w:pPr>
    <w:rPr>
      <w:rFonts w:ascii="Arial;sans-serif" w:hAnsi="Arial;sans-serif" w:eastAsia="Arial;sans-serif" w:cs="Arial;sans-serif"/>
      <w:b/>
      <w:bCs/>
      <w:color w:val="2E2E2E"/>
      <w:sz w:val="28"/>
      <w:szCs w:val="28"/>
    </w:rPr>
  </w:style>
  <w:style w:type="paragraph" w:styleId="Heading3">
    <w:name w:val="Heading 3"/>
    <w:basedOn w:val="Heading"/>
    <w:next w:val="BodyText"/>
    <w:qFormat/>
    <w:pPr>
      <w:spacing w:before="300" w:after="150"/>
      <w:outlineLvl w:val="2"/>
    </w:pPr>
    <w:rPr>
      <w:rFonts w:ascii="Arial;sans-serif" w:hAnsi="Arial;sans-serif" w:eastAsia="Arial;sans-serif" w:cs="Arial;sans-serif"/>
      <w:b/>
      <w:bCs/>
      <w:color w:val="2E2E2E"/>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Emphasis">
    <w:name w:val="Emphasis"/>
    <w:qFormat/>
    <w:rPr>
      <w:i/>
      <w:iCs/>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Footer">
    <w:name w:val="Footer"/>
    <w:basedOn w:val="Normal"/>
    <w:pPr>
      <w:suppressLineNumbers/>
      <w:tabs>
        <w:tab w:val="clear" w:pos="1134"/>
        <w:tab w:val="center" w:pos="5952" w:leader="none"/>
        <w:tab w:val="right" w:pos="10771" w:leader="none"/>
      </w:tabs>
    </w:pPr>
    <w:rPr/>
  </w:style>
  <w:style w:type="paragraph" w:styleId="Header">
    <w:name w:val="Header"/>
    <w:basedOn w:val="Normal"/>
    <w:pPr>
      <w:suppressLineNumbers/>
      <w:tabs>
        <w:tab w:val="clear" w:pos="1134"/>
        <w:tab w:val="center" w:pos="5952" w:leader="none"/>
        <w:tab w:val="right" w:pos="10771" w:leader="none"/>
      </w:tabs>
    </w:pPr>
    <w:rPr/>
  </w:style>
  <w:style w:type="paragraph" w:styleId="HeaderandFooter">
    <w:name w:val="Header and Footer"/>
    <w:basedOn w:val="Normal"/>
    <w:qFormat/>
    <w:pPr>
      <w:suppressLineNumbers/>
      <w:tabs>
        <w:tab w:val="clear" w:pos="1134"/>
        <w:tab w:val="center" w:pos="5953" w:leader="none"/>
        <w:tab w:val="right" w:pos="107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5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F2F2F2" w:val="clear"/>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Client NDA Template - Northwind Analytics LLC</dc:title>
</cp:coreProperties>
</file>

<file path=docProps/custom.xml><?xml version="1.0" encoding="utf-8"?>
<Properties xmlns="http://schemas.openxmlformats.org/officeDocument/2006/custom-properties" xmlns:vt="http://schemas.openxmlformats.org/officeDocument/2006/docPropsVTypes"/>
</file>