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75"/>
        <w:rPr/>
      </w:pPr>
      <w:r>
        <w:rPr/>
        <w:t>Annual Report Draft</w:t>
      </w:r>
    </w:p>
    <w:p>
      <w:pPr>
        <w:pStyle w:val="BodyText"/>
        <w:bidi w:val="0"/>
        <w:ind w:hanging="0" w:start="0" w:end="0"/>
        <w:jc w:val="center"/>
        <w:rPr>
          <w:b/>
          <w:color w:val="B00000"/>
        </w:rPr>
      </w:pPr>
      <w:r>
        <w:rPr>
          <w:b/>
          <w:color w:val="B00000"/>
        </w:rPr>
        <w:t>Internal Only</w:t>
      </w:r>
    </w:p>
    <w:tbl>
      <w:tblPr>
        <w:tblW w:w="6664" w:type="dxa"/>
        <w:jc w:val="start"/>
        <w:tblInd w:w="0" w:type="dxa"/>
        <w:tblLayout w:type="fixed"/>
        <w:tblCellMar>
          <w:top w:w="28" w:type="dxa"/>
          <w:start w:w="28" w:type="dxa"/>
          <w:bottom w:w="28" w:type="dxa"/>
          <w:end w:w="28" w:type="dxa"/>
        </w:tblCellMar>
      </w:tblPr>
      <w:tblGrid>
        <w:gridCol w:w="2078"/>
        <w:gridCol w:w="4586"/>
      </w:tblGrid>
      <w:tr>
        <w:trPr/>
        <w:tc>
          <w:tcPr>
            <w:tcW w:w="2078" w:type="dxa"/>
            <w:tcBorders/>
            <w:vAlign w:val="center"/>
          </w:tcPr>
          <w:p>
            <w:pPr>
              <w:pStyle w:val="TableContents"/>
              <w:bidi w:val="0"/>
              <w:spacing w:before="0" w:after="150"/>
              <w:rPr/>
            </w:pPr>
            <w:r>
              <w:rPr/>
              <w:t>Document ID</w:t>
            </w:r>
          </w:p>
        </w:tc>
        <w:tc>
          <w:tcPr>
            <w:tcW w:w="4586" w:type="dxa"/>
            <w:tcBorders/>
            <w:vAlign w:val="center"/>
          </w:tcPr>
          <w:p>
            <w:pPr>
              <w:pStyle w:val="TableContents"/>
              <w:bidi w:val="0"/>
              <w:spacing w:before="0" w:after="150"/>
              <w:rPr/>
            </w:pPr>
            <w:r>
              <w:rPr/>
              <w:t>AR-2023-Q3-DRAFT-001</w:t>
            </w:r>
          </w:p>
        </w:tc>
      </w:tr>
      <w:tr>
        <w:trPr/>
        <w:tc>
          <w:tcPr>
            <w:tcW w:w="2078" w:type="dxa"/>
            <w:tcBorders/>
            <w:vAlign w:val="center"/>
          </w:tcPr>
          <w:p>
            <w:pPr>
              <w:pStyle w:val="TableContents"/>
              <w:bidi w:val="0"/>
              <w:spacing w:before="0" w:after="150"/>
              <w:rPr/>
            </w:pPr>
            <w:r>
              <w:rPr/>
              <w:t>Prepared By</w:t>
            </w:r>
          </w:p>
        </w:tc>
        <w:tc>
          <w:tcPr>
            <w:tcW w:w="4586" w:type="dxa"/>
            <w:tcBorders/>
            <w:vAlign w:val="center"/>
          </w:tcPr>
          <w:p>
            <w:pPr>
              <w:pStyle w:val="TableContents"/>
              <w:bidi w:val="0"/>
              <w:spacing w:before="0" w:after="150"/>
              <w:rPr/>
            </w:pPr>
            <w:r>
              <w:rPr/>
              <w:t>Finance &amp; Operations Department</w:t>
            </w:r>
          </w:p>
        </w:tc>
      </w:tr>
      <w:tr>
        <w:trPr/>
        <w:tc>
          <w:tcPr>
            <w:tcW w:w="2078" w:type="dxa"/>
            <w:tcBorders/>
            <w:vAlign w:val="center"/>
          </w:tcPr>
          <w:p>
            <w:pPr>
              <w:pStyle w:val="TableContents"/>
              <w:bidi w:val="0"/>
              <w:spacing w:before="0" w:after="150"/>
              <w:rPr/>
            </w:pPr>
            <w:r>
              <w:rPr/>
              <w:t>Date Prepared</w:t>
            </w:r>
          </w:p>
        </w:tc>
        <w:tc>
          <w:tcPr>
            <w:tcW w:w="4586" w:type="dxa"/>
            <w:tcBorders/>
            <w:vAlign w:val="center"/>
          </w:tcPr>
          <w:p>
            <w:pPr>
              <w:pStyle w:val="TableContents"/>
              <w:bidi w:val="0"/>
              <w:spacing w:before="0" w:after="150"/>
              <w:rPr/>
            </w:pPr>
            <w:r>
              <w:rPr/>
              <w:t>[CURRENT_DATE]</w:t>
            </w:r>
          </w:p>
        </w:tc>
      </w:tr>
      <w:tr>
        <w:trPr/>
        <w:tc>
          <w:tcPr>
            <w:tcW w:w="2078" w:type="dxa"/>
            <w:tcBorders/>
            <w:vAlign w:val="center"/>
          </w:tcPr>
          <w:p>
            <w:pPr>
              <w:pStyle w:val="TableContents"/>
              <w:bidi w:val="0"/>
              <w:spacing w:before="0" w:after="150"/>
              <w:rPr/>
            </w:pPr>
            <w:r>
              <w:rPr/>
              <w:t>Version</w:t>
            </w:r>
          </w:p>
        </w:tc>
        <w:tc>
          <w:tcPr>
            <w:tcW w:w="4586" w:type="dxa"/>
            <w:tcBorders/>
            <w:vAlign w:val="center"/>
          </w:tcPr>
          <w:p>
            <w:pPr>
              <w:pStyle w:val="TableContents"/>
              <w:bidi w:val="0"/>
              <w:spacing w:before="0" w:after="150"/>
              <w:rPr/>
            </w:pPr>
            <w:r>
              <w:rPr/>
              <w:t>0.9 (Draft for Board Review)</w:t>
            </w:r>
          </w:p>
        </w:tc>
      </w:tr>
      <w:tr>
        <w:trPr/>
        <w:tc>
          <w:tcPr>
            <w:tcW w:w="2078" w:type="dxa"/>
            <w:tcBorders/>
            <w:vAlign w:val="center"/>
          </w:tcPr>
          <w:p>
            <w:pPr>
              <w:pStyle w:val="TableContents"/>
              <w:bidi w:val="0"/>
              <w:spacing w:before="0" w:after="150"/>
              <w:rPr/>
            </w:pPr>
            <w:r>
              <w:rPr/>
              <w:t>Distribution</w:t>
            </w:r>
          </w:p>
        </w:tc>
        <w:tc>
          <w:tcPr>
            <w:tcW w:w="4586" w:type="dxa"/>
            <w:tcBorders/>
            <w:vAlign w:val="center"/>
          </w:tcPr>
          <w:p>
            <w:pPr>
              <w:pStyle w:val="TableContents"/>
              <w:bidi w:val="0"/>
              <w:spacing w:before="0" w:after="150"/>
              <w:rPr/>
            </w:pPr>
            <w:r>
              <w:rPr/>
              <w:t>Executive Team, Board of Directors (Restricted)</w:t>
            </w:r>
          </w:p>
        </w:tc>
      </w:tr>
    </w:tbl>
    <w:p>
      <w:pPr>
        <w:pStyle w:val="BodyText"/>
        <w:bidi w:val="0"/>
        <w:spacing w:before="300" w:after="300"/>
        <w:ind w:hanging="0" w:start="300" w:end="300"/>
        <w:jc w:val="center"/>
        <w:rPr>
          <w:b/>
          <w:color w:val="B00000"/>
          <w:spacing w:val="15"/>
          <w:sz w:val="24"/>
          <w:bdr w:val="single" w:sz="12" w:space="6" w:color="B00000"/>
          <w:shd w:fill="FFF5F5" w:val="clear"/>
        </w:rPr>
      </w:pPr>
      <w:r>
        <w:rPr>
          <w:b/>
          <w:color w:val="B00000"/>
          <w:spacing w:val="15"/>
          <w:sz w:val="24"/>
          <w:bdr w:val="single" w:sz="12" w:space="6" w:color="B00000"/>
          <w:shd w:fill="FFF5F5" w:val="clear"/>
        </w:rPr>
        <w:t xml:space="preserve">CONFIDENTIAL - DO NOT DISTRIBUTE </w:t>
      </w:r>
    </w:p>
    <w:p>
      <w:pPr>
        <w:pStyle w:val="BodyText"/>
        <w:bidi w:val="0"/>
        <w:spacing w:before="225" w:after="225"/>
        <w:ind w:hanging="0" w:start="225" w:end="225"/>
        <w:rPr/>
      </w:pPr>
      <w:r>
        <w:rPr>
          <w:rStyle w:val="Strong"/>
          <w:i/>
          <w:sz w:val="21"/>
          <w:shd w:fill="FFFBE6" w:val="clear"/>
        </w:rPr>
        <w:t>Note:</w:t>
      </w:r>
      <w:r>
        <w:rPr>
          <w:i/>
          <w:sz w:val="21"/>
          <w:shd w:fill="FFFBE6" w:val="clear"/>
        </w:rPr>
        <w:t xml:space="preserve"> This draft contains sensitive financial projections that have not been approved for external distribution. The final version will be released after board review next month. Unauthorized sharing of this document may result in disciplinary action and potential legal liability under the company's Information Security Policy. </w:t>
      </w:r>
    </w:p>
    <w:p>
      <w:pPr>
        <w:pStyle w:val="Heading2"/>
        <w:bidi w:val="0"/>
        <w:jc w:val="start"/>
        <w:rPr/>
      </w:pPr>
      <w:r>
        <w:rPr/>
        <w:t>Section 1: Q3 Financial Summary</w:t>
      </w:r>
    </w:p>
    <w:p>
      <w:pPr>
        <w:pStyle w:val="BodyText"/>
        <w:bidi w:val="0"/>
        <w:rPr/>
      </w:pPr>
      <w:r>
        <w:rPr/>
        <w:t>The third quarter of the fiscal year has demonstrated strong performance across key revenue streams. Despite macroeconomic headwinds, the company successfully maintained its growth trajectory, driven primarily by increased demand in the core logistics sector and the successful launch of two new service tiers in July.</w:t>
      </w:r>
    </w:p>
    <w:tbl>
      <w:tblPr>
        <w:tblW w:w="6664" w:type="dxa"/>
        <w:jc w:val="start"/>
        <w:tblInd w:w="0" w:type="dxa"/>
        <w:tblLayout w:type="fixed"/>
        <w:tblCellMar>
          <w:top w:w="28" w:type="dxa"/>
          <w:start w:w="28" w:type="dxa"/>
          <w:bottom w:w="28" w:type="dxa"/>
          <w:end w:w="28" w:type="dxa"/>
        </w:tblCellMar>
      </w:tblPr>
      <w:tblGrid>
        <w:gridCol w:w="1715"/>
        <w:gridCol w:w="1331"/>
        <w:gridCol w:w="2026"/>
        <w:gridCol w:w="1592"/>
      </w:tblGrid>
      <w:tr>
        <w:trPr/>
        <w:tc>
          <w:tcPr>
            <w:tcW w:w="1715" w:type="dxa"/>
            <w:tcBorders/>
            <w:vAlign w:val="center"/>
          </w:tcPr>
          <w:p>
            <w:pPr>
              <w:pStyle w:val="TableHeading"/>
              <w:suppressLineNumbers/>
              <w:bidi w:val="0"/>
              <w:spacing w:before="0" w:after="150"/>
              <w:jc w:val="center"/>
              <w:rPr/>
            </w:pPr>
            <w:r>
              <w:rPr/>
              <w:t>Metric</w:t>
            </w:r>
          </w:p>
        </w:tc>
        <w:tc>
          <w:tcPr>
            <w:tcW w:w="1331" w:type="dxa"/>
            <w:tcBorders/>
            <w:vAlign w:val="center"/>
          </w:tcPr>
          <w:p>
            <w:pPr>
              <w:pStyle w:val="TableHeading"/>
              <w:suppressLineNumbers/>
              <w:bidi w:val="0"/>
              <w:spacing w:before="0" w:after="150"/>
              <w:jc w:val="center"/>
              <w:rPr/>
            </w:pPr>
            <w:r>
              <w:rPr/>
              <w:t>Q3 Value</w:t>
            </w:r>
          </w:p>
        </w:tc>
        <w:tc>
          <w:tcPr>
            <w:tcW w:w="2026" w:type="dxa"/>
            <w:tcBorders/>
            <w:vAlign w:val="center"/>
          </w:tcPr>
          <w:p>
            <w:pPr>
              <w:pStyle w:val="TableHeading"/>
              <w:suppressLineNumbers/>
              <w:bidi w:val="0"/>
              <w:spacing w:before="0" w:after="150"/>
              <w:jc w:val="center"/>
              <w:rPr/>
            </w:pPr>
            <w:r>
              <w:rPr/>
              <w:t>Q2 Comparison</w:t>
            </w:r>
          </w:p>
        </w:tc>
        <w:tc>
          <w:tcPr>
            <w:tcW w:w="1592" w:type="dxa"/>
            <w:tcBorders/>
            <w:vAlign w:val="center"/>
          </w:tcPr>
          <w:p>
            <w:pPr>
              <w:pStyle w:val="TableHeading"/>
              <w:suppressLineNumbers/>
              <w:bidi w:val="0"/>
              <w:spacing w:before="0" w:after="150"/>
              <w:jc w:val="center"/>
              <w:rPr/>
            </w:pPr>
            <w:r>
              <w:rPr/>
              <w:t>YoY Change</w:t>
            </w:r>
          </w:p>
        </w:tc>
      </w:tr>
      <w:tr>
        <w:trPr/>
        <w:tc>
          <w:tcPr>
            <w:tcW w:w="1715" w:type="dxa"/>
            <w:tcBorders/>
            <w:vAlign w:val="center"/>
          </w:tcPr>
          <w:p>
            <w:pPr>
              <w:pStyle w:val="TableContents"/>
              <w:bidi w:val="0"/>
              <w:spacing w:before="0" w:after="150"/>
              <w:rPr/>
            </w:pPr>
            <w:r>
              <w:rPr/>
              <w:t>Revenue</w:t>
            </w:r>
          </w:p>
        </w:tc>
        <w:tc>
          <w:tcPr>
            <w:tcW w:w="1331" w:type="dxa"/>
            <w:tcBorders/>
            <w:vAlign w:val="center"/>
          </w:tcPr>
          <w:p>
            <w:pPr>
              <w:pStyle w:val="TableContents"/>
              <w:bidi w:val="0"/>
              <w:spacing w:before="0" w:after="150"/>
              <w:rPr/>
            </w:pPr>
            <w:r>
              <w:rPr/>
              <w:t>$4.2M</w:t>
            </w:r>
          </w:p>
        </w:tc>
        <w:tc>
          <w:tcPr>
            <w:tcW w:w="2026" w:type="dxa"/>
            <w:tcBorders/>
            <w:vAlign w:val="center"/>
          </w:tcPr>
          <w:p>
            <w:pPr>
              <w:pStyle w:val="TableContents"/>
              <w:bidi w:val="0"/>
              <w:spacing w:before="0" w:after="150"/>
              <w:rPr/>
            </w:pPr>
            <w:r>
              <w:rPr/>
              <w:t>Up 12% from Q2</w:t>
            </w:r>
          </w:p>
        </w:tc>
        <w:tc>
          <w:tcPr>
            <w:tcW w:w="1592" w:type="dxa"/>
            <w:tcBorders/>
            <w:vAlign w:val="center"/>
          </w:tcPr>
          <w:p>
            <w:pPr>
              <w:pStyle w:val="TableContents"/>
              <w:bidi w:val="0"/>
              <w:spacing w:before="0" w:after="150"/>
              <w:rPr/>
            </w:pPr>
            <w:r>
              <w:rPr/>
              <w:t>+18%</w:t>
            </w:r>
          </w:p>
        </w:tc>
      </w:tr>
      <w:tr>
        <w:trPr/>
        <w:tc>
          <w:tcPr>
            <w:tcW w:w="1715" w:type="dxa"/>
            <w:tcBorders/>
            <w:vAlign w:val="center"/>
          </w:tcPr>
          <w:p>
            <w:pPr>
              <w:pStyle w:val="TableContents"/>
              <w:bidi w:val="0"/>
              <w:spacing w:before="0" w:after="150"/>
              <w:rPr/>
            </w:pPr>
            <w:r>
              <w:rPr/>
              <w:t>Operating Costs</w:t>
            </w:r>
          </w:p>
        </w:tc>
        <w:tc>
          <w:tcPr>
            <w:tcW w:w="1331" w:type="dxa"/>
            <w:tcBorders/>
            <w:vAlign w:val="center"/>
          </w:tcPr>
          <w:p>
            <w:pPr>
              <w:pStyle w:val="TableContents"/>
              <w:bidi w:val="0"/>
              <w:spacing w:before="0" w:after="150"/>
              <w:rPr/>
            </w:pPr>
            <w:r>
              <w:rPr/>
              <w:t>$3.1M</w:t>
            </w:r>
          </w:p>
        </w:tc>
        <w:tc>
          <w:tcPr>
            <w:tcW w:w="2026" w:type="dxa"/>
            <w:tcBorders/>
            <w:vAlign w:val="center"/>
          </w:tcPr>
          <w:p>
            <w:pPr>
              <w:pStyle w:val="TableContents"/>
              <w:bidi w:val="0"/>
              <w:spacing w:before="0" w:after="150"/>
              <w:rPr/>
            </w:pPr>
            <w:r>
              <w:rPr/>
              <w:t>Down 3% from Q2</w:t>
            </w:r>
          </w:p>
        </w:tc>
        <w:tc>
          <w:tcPr>
            <w:tcW w:w="1592" w:type="dxa"/>
            <w:tcBorders/>
            <w:vAlign w:val="center"/>
          </w:tcPr>
          <w:p>
            <w:pPr>
              <w:pStyle w:val="TableContents"/>
              <w:bidi w:val="0"/>
              <w:spacing w:before="0" w:after="150"/>
              <w:rPr/>
            </w:pPr>
            <w:r>
              <w:rPr/>
              <w:t>+5%</w:t>
            </w:r>
          </w:p>
        </w:tc>
      </w:tr>
      <w:tr>
        <w:trPr/>
        <w:tc>
          <w:tcPr>
            <w:tcW w:w="1715" w:type="dxa"/>
            <w:tcBorders/>
            <w:vAlign w:val="center"/>
          </w:tcPr>
          <w:p>
            <w:pPr>
              <w:pStyle w:val="TableContents"/>
              <w:bidi w:val="0"/>
              <w:spacing w:before="0" w:after="150"/>
              <w:rPr/>
            </w:pPr>
            <w:r>
              <w:rPr/>
              <w:t>Net Profit</w:t>
            </w:r>
          </w:p>
        </w:tc>
        <w:tc>
          <w:tcPr>
            <w:tcW w:w="1331" w:type="dxa"/>
            <w:tcBorders/>
            <w:vAlign w:val="center"/>
          </w:tcPr>
          <w:p>
            <w:pPr>
              <w:pStyle w:val="TableContents"/>
              <w:bidi w:val="0"/>
              <w:spacing w:before="0" w:after="150"/>
              <w:rPr/>
            </w:pPr>
            <w:r>
              <w:rPr/>
              <w:t>$1.1M</w:t>
            </w:r>
          </w:p>
        </w:tc>
        <w:tc>
          <w:tcPr>
            <w:tcW w:w="2026" w:type="dxa"/>
            <w:tcBorders/>
            <w:vAlign w:val="center"/>
          </w:tcPr>
          <w:p>
            <w:pPr>
              <w:pStyle w:val="TableContents"/>
              <w:bidi w:val="0"/>
              <w:spacing w:before="0" w:after="150"/>
              <w:rPr/>
            </w:pPr>
            <w:r>
              <w:rPr/>
              <w:t>Up 25% from Q2</w:t>
            </w:r>
          </w:p>
        </w:tc>
        <w:tc>
          <w:tcPr>
            <w:tcW w:w="1592" w:type="dxa"/>
            <w:tcBorders/>
            <w:vAlign w:val="center"/>
          </w:tcPr>
          <w:p>
            <w:pPr>
              <w:pStyle w:val="TableContents"/>
              <w:bidi w:val="0"/>
              <w:spacing w:before="0" w:after="150"/>
              <w:rPr/>
            </w:pPr>
            <w:r>
              <w:rPr/>
              <w:t>+32%</w:t>
            </w:r>
          </w:p>
        </w:tc>
      </w:tr>
    </w:tbl>
    <w:p>
      <w:pPr>
        <w:pStyle w:val="BodyText"/>
        <w:bidi w:val="0"/>
        <w:rPr/>
      </w:pPr>
      <w:r>
        <w:rPr/>
        <w:t>The 12% quarter-over-quarter increase in revenue reflects both volume growth and favorable pricing adjustments implemented in early July. Operating costs remained manageable due to the completion of vendor renegotiations in Q2, which are expected to provide continued savings through Q4.</w:t>
      </w:r>
    </w:p>
    <w:p>
      <w:pPr>
        <w:pStyle w:val="Heading2"/>
        <w:bidi w:val="0"/>
        <w:jc w:val="start"/>
        <w:rPr/>
      </w:pPr>
      <w:r>
        <w:rPr/>
        <w:t>Section 2: Operations Update</w:t>
      </w:r>
    </w:p>
    <w:p>
      <w:pPr>
        <w:pStyle w:val="BodyText"/>
        <w:bidi w:val="0"/>
        <w:rPr/>
      </w:pPr>
      <w:r>
        <w:rPr/>
        <w:t>Operational efficiency has improved significantly this quarter, with several key initiatives reaching their target milestones. The infrastructure expansion and workforce adjustments have positioned the company well for the upcoming holiday peak season.</w:t>
      </w:r>
    </w:p>
    <w:p>
      <w:pPr>
        <w:pStyle w:val="BodyText"/>
        <w:numPr>
          <w:ilvl w:val="0"/>
          <w:numId w:val="1"/>
        </w:numPr>
        <w:tabs>
          <w:tab w:val="clear" w:pos="1134"/>
          <w:tab w:val="left" w:pos="1309" w:leader="none"/>
        </w:tabs>
        <w:bidi w:val="0"/>
        <w:spacing w:before="0" w:after="0"/>
        <w:ind w:hanging="283" w:start="1309"/>
        <w:rPr/>
      </w:pPr>
      <w:r>
        <w:rPr>
          <w:rStyle w:val="Strong"/>
        </w:rPr>
        <w:t>Facility Expansion:</w:t>
      </w:r>
      <w:r>
        <w:rPr/>
        <w:t xml:space="preserve"> The new warehouse facility in Ohio is on schedule to become fully operational by November 1st. This expansion will increase our storage capacity by 40% and reduce average delivery times for Mid-Atlantic customers by approximately 12 hours. </w:t>
      </w:r>
    </w:p>
    <w:p>
      <w:pPr>
        <w:pStyle w:val="BodyText"/>
        <w:numPr>
          <w:ilvl w:val="0"/>
          <w:numId w:val="1"/>
        </w:numPr>
        <w:tabs>
          <w:tab w:val="clear" w:pos="1134"/>
          <w:tab w:val="left" w:pos="1309" w:leader="none"/>
        </w:tabs>
        <w:bidi w:val="0"/>
        <w:spacing w:before="0" w:after="0"/>
        <w:ind w:hanging="283" w:start="1309"/>
        <w:rPr/>
      </w:pPr>
      <w:r>
        <w:rPr>
          <w:rStyle w:val="Strong"/>
        </w:rPr>
        <w:t>Workforce Growth:</w:t>
      </w:r>
      <w:r>
        <w:rPr/>
        <w:t xml:space="preserve"> Headcount increased by 15% in logistics to support the expanded network. Onboarding and safety training for new hires are currently 90% complete, with full integration expected by end of month. </w:t>
      </w:r>
    </w:p>
    <w:p>
      <w:pPr>
        <w:pStyle w:val="BodyText"/>
        <w:numPr>
          <w:ilvl w:val="0"/>
          <w:numId w:val="1"/>
        </w:numPr>
        <w:tabs>
          <w:tab w:val="clear" w:pos="1134"/>
          <w:tab w:val="left" w:pos="1309" w:leader="none"/>
        </w:tabs>
        <w:bidi w:val="0"/>
        <w:ind w:hanging="283" w:start="1309"/>
        <w:rPr/>
      </w:pPr>
      <w:r>
        <w:rPr>
          <w:rStyle w:val="Strong"/>
        </w:rPr>
        <w:t>Cost Optimization:</w:t>
      </w:r>
      <w:r>
        <w:rPr/>
        <w:t xml:space="preserve"> Supply chain costs down 8% due to renegotiated contracts with primary freight partners. These new agreements include volume-based incentives that could further reduce costs by an additional 2-3% in Q4. </w:t>
      </w:r>
    </w:p>
    <w:p>
      <w:pPr>
        <w:pStyle w:val="Heading2"/>
        <w:bidi w:val="0"/>
        <w:jc w:val="start"/>
        <w:rPr/>
      </w:pPr>
      <w:r>
        <w:rPr/>
        <w:t>Section 3: Outlook</w:t>
      </w:r>
    </w:p>
    <w:p>
      <w:pPr>
        <w:pStyle w:val="BodyText"/>
        <w:bidi w:val="0"/>
        <w:rPr/>
      </w:pPr>
      <w:r>
        <w:rPr/>
        <w:t>Looking ahead to the fourth quarter and the coming fiscal year, management remains optimistic about the company's growth potential. The strategic initiatives outlined below will be central to the board's discussion at the upcoming meeting.</w:t>
      </w:r>
    </w:p>
    <w:p>
      <w:pPr>
        <w:pStyle w:val="BodyText"/>
        <w:numPr>
          <w:ilvl w:val="0"/>
          <w:numId w:val="2"/>
        </w:numPr>
        <w:tabs>
          <w:tab w:val="clear" w:pos="1134"/>
          <w:tab w:val="left" w:pos="1309" w:leader="none"/>
        </w:tabs>
        <w:bidi w:val="0"/>
        <w:spacing w:before="0" w:after="0"/>
        <w:ind w:hanging="283" w:start="1309"/>
        <w:rPr/>
      </w:pPr>
      <w:r>
        <w:rPr>
          <w:rStyle w:val="Strong"/>
        </w:rPr>
        <w:t>Revenue Forecast:</w:t>
      </w:r>
      <w:r>
        <w:rPr/>
        <w:t xml:space="preserve"> Q4 revenue forecast: $4.5M - $4.8M, reflecting seasonal demand peaks and the full impact of the Ohio facility. This represents a potential 7-14% increase over Q3. </w:t>
      </w:r>
    </w:p>
    <w:p>
      <w:pPr>
        <w:pStyle w:val="BodyText"/>
        <w:numPr>
          <w:ilvl w:val="0"/>
          <w:numId w:val="2"/>
        </w:numPr>
        <w:tabs>
          <w:tab w:val="clear" w:pos="1134"/>
          <w:tab w:val="left" w:pos="1309" w:leader="none"/>
        </w:tabs>
        <w:bidi w:val="0"/>
        <w:spacing w:before="0" w:after="0"/>
        <w:ind w:hanging="283" w:start="1309"/>
        <w:rPr/>
      </w:pPr>
      <w:r>
        <w:rPr>
          <w:rStyle w:val="Strong"/>
        </w:rPr>
        <w:t>Strategic Acquisitions:</w:t>
      </w:r>
      <w:r>
        <w:rPr/>
        <w:t xml:space="preserve"> A potential acquisition target identified in the Southeast region is currently under preliminary due diligence. This target complements our existing network and could provide immediate access to three major metropolitan markets. A formal proposal is expected to be presented to the board in January. </w:t>
      </w:r>
    </w:p>
    <w:p>
      <w:pPr>
        <w:pStyle w:val="BodyText"/>
        <w:numPr>
          <w:ilvl w:val="0"/>
          <w:numId w:val="2"/>
        </w:numPr>
        <w:tabs>
          <w:tab w:val="clear" w:pos="1134"/>
          <w:tab w:val="left" w:pos="1309" w:leader="none"/>
        </w:tabs>
        <w:bidi w:val="0"/>
        <w:ind w:hanging="283" w:start="1309"/>
        <w:rPr/>
      </w:pPr>
      <w:r>
        <w:rPr>
          <w:rStyle w:val="Strong"/>
        </w:rPr>
        <w:t>Governance:</w:t>
      </w:r>
      <w:r>
        <w:rPr/>
        <w:t xml:space="preserve"> Board meeting scheduled for December 15th to review final Q4 projections, approve the FY2024 budget, and discuss the acquisition strategy. </w:t>
      </w:r>
    </w:p>
    <w:p>
      <w:pPr>
        <w:pStyle w:val="Heading2"/>
        <w:bidi w:val="0"/>
        <w:jc w:val="start"/>
        <w:rPr/>
      </w:pPr>
      <w:r>
        <w:rPr/>
        <w:t>Section 4: Risk Factors &amp; Compliance</w:t>
      </w:r>
    </w:p>
    <w:p>
      <w:pPr>
        <w:pStyle w:val="BodyText"/>
        <w:bidi w:val="0"/>
        <w:rPr/>
      </w:pPr>
      <w:r>
        <w:rPr/>
        <w:t>While the company is in a strong financial position, several risk factors warrant monitoring. Supply chain disruptions in the Pacific Northwest may impact inbound inventory flows in early Q4. Additionally, rising fuel costs could partially offset the savings from renegotiated freight contracts. The compliance team has confirmed that all internal controls are functioning effectively, and no material weaknesses were identified during the Q3 internal audit.</w:t>
      </w:r>
    </w:p>
    <w:p>
      <w:pPr>
        <w:pStyle w:val="Heading2"/>
        <w:bidi w:val="0"/>
        <w:jc w:val="start"/>
        <w:rPr/>
      </w:pPr>
      <w:r>
        <w:rPr/>
        <w:t>Revision History</w:t>
      </w:r>
    </w:p>
    <w:tbl>
      <w:tblPr>
        <w:tblW w:w="6664" w:type="dxa"/>
        <w:jc w:val="start"/>
        <w:tblInd w:w="0" w:type="dxa"/>
        <w:tblLayout w:type="fixed"/>
        <w:tblCellMar>
          <w:top w:w="28" w:type="dxa"/>
          <w:start w:w="28" w:type="dxa"/>
          <w:bottom w:w="28" w:type="dxa"/>
          <w:end w:w="28" w:type="dxa"/>
        </w:tblCellMar>
      </w:tblPr>
      <w:tblGrid>
        <w:gridCol w:w="1501"/>
        <w:gridCol w:w="1531"/>
        <w:gridCol w:w="1831"/>
        <w:gridCol w:w="1801"/>
      </w:tblGrid>
      <w:tr>
        <w:trPr/>
        <w:tc>
          <w:tcPr>
            <w:tcW w:w="1501" w:type="dxa"/>
            <w:tcBorders/>
            <w:vAlign w:val="center"/>
          </w:tcPr>
          <w:p>
            <w:pPr>
              <w:pStyle w:val="TableHeading"/>
              <w:suppressLineNumbers/>
              <w:bidi w:val="0"/>
              <w:spacing w:before="0" w:after="150"/>
              <w:jc w:val="center"/>
              <w:rPr/>
            </w:pPr>
            <w:r>
              <w:rPr/>
              <w:t>Date</w:t>
            </w:r>
          </w:p>
        </w:tc>
        <w:tc>
          <w:tcPr>
            <w:tcW w:w="1531" w:type="dxa"/>
            <w:tcBorders/>
            <w:vAlign w:val="center"/>
          </w:tcPr>
          <w:p>
            <w:pPr>
              <w:pStyle w:val="TableHeading"/>
              <w:suppressLineNumbers/>
              <w:bidi w:val="0"/>
              <w:spacing w:before="0" w:after="150"/>
              <w:jc w:val="center"/>
              <w:rPr/>
            </w:pPr>
            <w:r>
              <w:rPr/>
              <w:t>Version</w:t>
            </w:r>
          </w:p>
        </w:tc>
        <w:tc>
          <w:tcPr>
            <w:tcW w:w="1831" w:type="dxa"/>
            <w:tcBorders/>
            <w:vAlign w:val="center"/>
          </w:tcPr>
          <w:p>
            <w:pPr>
              <w:pStyle w:val="TableHeading"/>
              <w:suppressLineNumbers/>
              <w:bidi w:val="0"/>
              <w:spacing w:before="0" w:after="150"/>
              <w:jc w:val="center"/>
              <w:rPr/>
            </w:pPr>
            <w:r>
              <w:rPr/>
              <w:t>Author</w:t>
            </w:r>
          </w:p>
        </w:tc>
        <w:tc>
          <w:tcPr>
            <w:tcW w:w="1801" w:type="dxa"/>
            <w:tcBorders/>
            <w:vAlign w:val="center"/>
          </w:tcPr>
          <w:p>
            <w:pPr>
              <w:pStyle w:val="TableHeading"/>
              <w:suppressLineNumbers/>
              <w:bidi w:val="0"/>
              <w:spacing w:before="0" w:after="150"/>
              <w:jc w:val="center"/>
              <w:rPr/>
            </w:pPr>
            <w:r>
              <w:rPr/>
              <w:t>Changes</w:t>
            </w:r>
          </w:p>
        </w:tc>
      </w:tr>
      <w:tr>
        <w:trPr/>
        <w:tc>
          <w:tcPr>
            <w:tcW w:w="1501" w:type="dxa"/>
            <w:tcBorders/>
            <w:vAlign w:val="center"/>
          </w:tcPr>
          <w:p>
            <w:pPr>
              <w:pStyle w:val="TableContents"/>
              <w:bidi w:val="0"/>
              <w:spacing w:before="0" w:after="150"/>
              <w:rPr/>
            </w:pPr>
            <w:r>
              <w:rPr/>
              <w:t>[DATE_1]</w:t>
            </w:r>
          </w:p>
        </w:tc>
        <w:tc>
          <w:tcPr>
            <w:tcW w:w="1531" w:type="dxa"/>
            <w:tcBorders/>
            <w:vAlign w:val="center"/>
          </w:tcPr>
          <w:p>
            <w:pPr>
              <w:pStyle w:val="TableContents"/>
              <w:bidi w:val="0"/>
              <w:spacing w:before="0" w:after="150"/>
              <w:rPr/>
            </w:pPr>
            <w:r>
              <w:rPr/>
              <w:t>0.1</w:t>
            </w:r>
          </w:p>
        </w:tc>
        <w:tc>
          <w:tcPr>
            <w:tcW w:w="1831" w:type="dxa"/>
            <w:tcBorders/>
            <w:vAlign w:val="center"/>
          </w:tcPr>
          <w:p>
            <w:pPr>
              <w:pStyle w:val="TableContents"/>
              <w:bidi w:val="0"/>
              <w:spacing w:before="0" w:after="150"/>
              <w:rPr/>
            </w:pPr>
            <w:r>
              <w:rPr/>
              <w:t>[AUTHOR_1]</w:t>
            </w:r>
          </w:p>
        </w:tc>
        <w:tc>
          <w:tcPr>
            <w:tcW w:w="1801" w:type="dxa"/>
            <w:tcBorders/>
            <w:vAlign w:val="center"/>
          </w:tcPr>
          <w:p>
            <w:pPr>
              <w:pStyle w:val="TableContents"/>
              <w:bidi w:val="0"/>
              <w:spacing w:before="0" w:after="150"/>
              <w:rPr/>
            </w:pPr>
            <w:r>
              <w:rPr/>
              <w:t>Initial draft outline</w:t>
            </w:r>
          </w:p>
        </w:tc>
      </w:tr>
      <w:tr>
        <w:trPr/>
        <w:tc>
          <w:tcPr>
            <w:tcW w:w="1501" w:type="dxa"/>
            <w:tcBorders/>
            <w:vAlign w:val="center"/>
          </w:tcPr>
          <w:p>
            <w:pPr>
              <w:pStyle w:val="TableContents"/>
              <w:bidi w:val="0"/>
              <w:spacing w:before="0" w:after="150"/>
              <w:rPr/>
            </w:pPr>
            <w:r>
              <w:rPr/>
              <w:t>[DATE_2]</w:t>
            </w:r>
          </w:p>
        </w:tc>
        <w:tc>
          <w:tcPr>
            <w:tcW w:w="1531" w:type="dxa"/>
            <w:tcBorders/>
            <w:vAlign w:val="center"/>
          </w:tcPr>
          <w:p>
            <w:pPr>
              <w:pStyle w:val="TableContents"/>
              <w:bidi w:val="0"/>
              <w:spacing w:before="0" w:after="150"/>
              <w:rPr/>
            </w:pPr>
            <w:r>
              <w:rPr/>
              <w:t>0.5</w:t>
            </w:r>
          </w:p>
        </w:tc>
        <w:tc>
          <w:tcPr>
            <w:tcW w:w="1831" w:type="dxa"/>
            <w:tcBorders/>
            <w:vAlign w:val="center"/>
          </w:tcPr>
          <w:p>
            <w:pPr>
              <w:pStyle w:val="TableContents"/>
              <w:bidi w:val="0"/>
              <w:spacing w:before="0" w:after="150"/>
              <w:rPr/>
            </w:pPr>
            <w:r>
              <w:rPr/>
              <w:t>[AUTHOR_2]</w:t>
            </w:r>
          </w:p>
        </w:tc>
        <w:tc>
          <w:tcPr>
            <w:tcW w:w="1801" w:type="dxa"/>
            <w:tcBorders/>
            <w:vAlign w:val="center"/>
          </w:tcPr>
          <w:p>
            <w:pPr>
              <w:pStyle w:val="TableContents"/>
              <w:bidi w:val="0"/>
              <w:spacing w:before="0" w:after="150"/>
              <w:rPr/>
            </w:pPr>
            <w:r>
              <w:rPr/>
              <w:t>Added Q3 financials and operations data</w:t>
            </w:r>
          </w:p>
        </w:tc>
      </w:tr>
      <w:tr>
        <w:trPr/>
        <w:tc>
          <w:tcPr>
            <w:tcW w:w="1501" w:type="dxa"/>
            <w:tcBorders/>
            <w:vAlign w:val="center"/>
          </w:tcPr>
          <w:p>
            <w:pPr>
              <w:pStyle w:val="TableContents"/>
              <w:bidi w:val="0"/>
              <w:spacing w:before="0" w:after="150"/>
              <w:rPr/>
            </w:pPr>
            <w:r>
              <w:rPr/>
              <w:t>[DATE_3]</w:t>
            </w:r>
          </w:p>
        </w:tc>
        <w:tc>
          <w:tcPr>
            <w:tcW w:w="1531" w:type="dxa"/>
            <w:tcBorders/>
            <w:vAlign w:val="center"/>
          </w:tcPr>
          <w:p>
            <w:pPr>
              <w:pStyle w:val="TableContents"/>
              <w:bidi w:val="0"/>
              <w:spacing w:before="0" w:after="150"/>
              <w:rPr/>
            </w:pPr>
            <w:r>
              <w:rPr/>
              <w:t>0.9</w:t>
            </w:r>
          </w:p>
        </w:tc>
        <w:tc>
          <w:tcPr>
            <w:tcW w:w="1831" w:type="dxa"/>
            <w:tcBorders/>
            <w:vAlign w:val="center"/>
          </w:tcPr>
          <w:p>
            <w:pPr>
              <w:pStyle w:val="TableContents"/>
              <w:bidi w:val="0"/>
              <w:spacing w:before="0" w:after="150"/>
              <w:rPr/>
            </w:pPr>
            <w:r>
              <w:rPr/>
              <w:t>[AUTHOR_3]</w:t>
            </w:r>
          </w:p>
        </w:tc>
        <w:tc>
          <w:tcPr>
            <w:tcW w:w="1801" w:type="dxa"/>
            <w:tcBorders/>
            <w:vAlign w:val="center"/>
          </w:tcPr>
          <w:p>
            <w:pPr>
              <w:pStyle w:val="TableContents"/>
              <w:bidi w:val="0"/>
              <w:spacing w:before="0" w:after="150"/>
              <w:rPr/>
            </w:pPr>
            <w:r>
              <w:rPr/>
              <w:t>Finalized outlook section; added risk factors</w:t>
            </w:r>
          </w:p>
        </w:tc>
      </w:tr>
    </w:tbl>
    <w:p>
      <w:pPr>
        <w:pStyle w:val="Heading3"/>
        <w:keepLines/>
        <w:bidi w:val="0"/>
        <w:spacing w:before="600" w:after="150"/>
        <w:ind w:hanging="0" w:start="0" w:end="0"/>
        <w:jc w:val="start"/>
        <w:rPr/>
      </w:pPr>
      <w:r>
        <w:rPr/>
        <w:t>Approval for Internal Review</w:t>
      </w:r>
    </w:p>
    <w:p>
      <w:pPr>
        <w:pStyle w:val="BodyText"/>
        <w:keepLines/>
        <w:bidi w:val="0"/>
        <w:spacing w:before="600" w:after="150"/>
        <w:rPr/>
      </w:pPr>
      <w:r>
        <w:rPr/>
        <w:t>This draft is submitted for internal review and preparation for the Board of Directors meeting. It is not for external release.</w:t>
      </w:r>
    </w:p>
    <w:p>
      <w:pPr>
        <w:pStyle w:val="BodyText"/>
        <w:keepLines/>
        <w:bidi w:val="0"/>
        <w:spacing w:before="600" w:after="150"/>
        <w:ind w:hanging="0" w:start="0" w:end="0"/>
        <w:rPr/>
      </w:pPr>
      <w:r>
        <w:rPr>
          <w:rStyle w:val="Strong"/>
          <w:sz w:val="20"/>
          <w:bdr w:val="single" w:sz="2" w:space="3" w:color="000000"/>
        </w:rPr>
        <w:t>Prepared By:</w:t>
      </w:r>
      <w:r>
        <w:rPr>
          <w:sz w:val="20"/>
          <w:bdr w:val="single" w:sz="2" w:space="3" w:color="000000"/>
        </w:rPr>
        <w:t xml:space="preserve"> [NAME], VP of Finance</w:t>
        <w:br/>
        <w:t xml:space="preserve">Date: [DATE] </w:t>
      </w:r>
    </w:p>
    <w:p>
      <w:pPr>
        <w:pStyle w:val="BodyText"/>
        <w:keepLines/>
        <w:bidi w:val="0"/>
        <w:spacing w:before="600" w:after="150"/>
        <w:ind w:hanging="0" w:start="0" w:end="0"/>
        <w:rPr/>
      </w:pPr>
      <w:r>
        <w:rPr>
          <w:rStyle w:val="Strong"/>
          <w:sz w:val="20"/>
          <w:bdr w:val="single" w:sz="2" w:space="3" w:color="000000"/>
        </w:rPr>
        <w:t>Reviewed By:</w:t>
      </w:r>
      <w:r>
        <w:rPr>
          <w:sz w:val="20"/>
          <w:bdr w:val="single" w:sz="2" w:space="3" w:color="000000"/>
        </w:rPr>
        <w:t xml:space="preserve"> [NAME], Chief Operating Officer</w:t>
        <w:br/>
        <w:t xml:space="preserve">Date: [DATE] </w:t>
      </w:r>
    </w:p>
    <w:p>
      <w:pPr>
        <w:pStyle w:val="BodyText"/>
        <w:bidi w:val="0"/>
        <w:spacing w:before="450" w:after="150"/>
        <w:ind w:hanging="0" w:start="0" w:end="0"/>
        <w:jc w:val="center"/>
        <w:rPr>
          <w:color w:val="666666"/>
          <w:sz w:val="18"/>
          <w:bdr w:val="single" w:sz="2" w:space="8" w:color="CCCCCC"/>
        </w:rPr>
      </w:pPr>
      <w:r>
        <w:rPr>
          <w:color w:val="666666"/>
          <w:sz w:val="18"/>
          <w:bdr w:val="single" w:sz="2" w:space="8" w:color="CCCCCC"/>
        </w:rPr>
        <w:t>This document is the property of [COMPANY_NAME]. Unauthorized reproduction or distribution is strictly prohibited.</w:t>
        <w:br/>
        <w:t>Document ID: AR-2023-Q3-DRAFT-001 | Page 1 of 1</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Arial"/>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600" w:after="600"/>
      <w:ind w:start="600" w:end="600"/>
    </w:pPr>
    <w:rPr>
      <w:rFonts w:ascii="Calibri;Arial;sans-serif" w:hAnsi="Calibri;Arial;sans-serif" w:eastAsia="Calibri;Arial;sans-serif" w:cs="Calibri;Arial;sans-serif"/>
      <w:color w:val="222222"/>
      <w:sz w:val="22"/>
      <w:szCs w:val="22"/>
      <w:lang w:val="en-US" w:eastAsia="zh-CN" w:bidi="hi-IN"/>
    </w:rPr>
  </w:style>
  <w:style w:type="paragraph" w:styleId="Heading1">
    <w:name w:val="Heading 1"/>
    <w:basedOn w:val="Heading"/>
    <w:next w:val="BodyText"/>
    <w:qFormat/>
    <w:pPr>
      <w:pBdr>
        <w:bottom w:val="single" w:sz="12" w:space="8" w:color="1A3A5C"/>
      </w:pBdr>
      <w:spacing w:before="240" w:after="75"/>
      <w:jc w:val="center"/>
    </w:pPr>
    <w:rPr>
      <w:rFonts w:ascii="Noto Sans" w:hAnsi="Noto Sans"/>
      <w:b/>
      <w:bCs/>
      <w:color w:val="1A3A5C"/>
      <w:sz w:val="40"/>
      <w:szCs w:val="40"/>
    </w:rPr>
  </w:style>
  <w:style w:type="paragraph" w:styleId="Heading2">
    <w:name w:val="Heading 2"/>
    <w:basedOn w:val="Heading"/>
    <w:next w:val="BodyText"/>
    <w:qFormat/>
    <w:pPr>
      <w:pBdr>
        <w:bottom w:val="single" w:sz="2" w:space="3" w:color="CCCCCC"/>
      </w:pBdr>
      <w:spacing w:before="375" w:after="150"/>
      <w:outlineLvl w:val="1"/>
    </w:pPr>
    <w:rPr>
      <w:rFonts w:ascii="Liberation Serif" w:hAnsi="Liberation Serif" w:eastAsia="Noto Serif CJK SC" w:cs="Noto Sans Devanagari"/>
      <w:b/>
      <w:bCs/>
      <w:color w:val="1A3A5C"/>
      <w:sz w:val="28"/>
      <w:szCs w:val="28"/>
    </w:rPr>
  </w:style>
  <w:style w:type="paragraph" w:styleId="Heading3">
    <w:name w:val="Heading 3"/>
    <w:basedOn w:val="Heading"/>
    <w:next w:val="BodyText"/>
    <w:qFormat/>
    <w:pPr>
      <w:spacing w:before="225" w:after="75"/>
      <w:outlineLvl w:val="2"/>
    </w:pPr>
    <w:rPr>
      <w:rFonts w:ascii="Liberation Serif" w:hAnsi="Liberation Serif" w:eastAsia="Noto Serif CJK SC" w:cs="Noto Sans Devanagari"/>
      <w:b/>
      <w:bCs/>
      <w:color w:val="333333"/>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5418" w:leader="none"/>
        <w:tab w:val="right" w:pos="10237" w:leader="none"/>
      </w:tabs>
    </w:pPr>
    <w:rPr/>
  </w:style>
  <w:style w:type="paragraph" w:styleId="Header">
    <w:name w:val="Header"/>
    <w:basedOn w:val="Normal"/>
    <w:pPr>
      <w:suppressLineNumbers/>
      <w:tabs>
        <w:tab w:val="clear" w:pos="1134"/>
        <w:tab w:val="center" w:pos="5418" w:leader="none"/>
        <w:tab w:val="right" w:pos="10237" w:leader="none"/>
      </w:tabs>
    </w:pPr>
    <w:rPr/>
  </w:style>
  <w:style w:type="paragraph" w:styleId="HeaderandFooter">
    <w:name w:val="Header and Footer"/>
    <w:basedOn w:val="Normal"/>
    <w:qFormat/>
    <w:pPr>
      <w:suppressLineNumbers/>
      <w:tabs>
        <w:tab w:val="clear" w:pos="1134"/>
        <w:tab w:val="center" w:pos="5419" w:leader="none"/>
        <w:tab w:val="right" w:pos="102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5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Annual Report Draft - Internal Only</dc:title>
</cp:coreProperties>
</file>

<file path=docProps/custom.xml><?xml version="1.0" encoding="utf-8"?>
<Properties xmlns="http://schemas.openxmlformats.org/officeDocument/2006/custom-properties" xmlns:vt="http://schemas.openxmlformats.org/officeDocument/2006/docPropsVTypes"/>
</file>