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60"/>
        <w:ind w:hanging="0" w:start="0" w:end="0"/>
        <w:rPr>
          <w:b/>
          <w:color w:val="1A3A5F"/>
          <w:sz w:val="32"/>
          <w:bdr w:val="single" w:sz="12" w:space="9" w:color="1A3A5F"/>
        </w:rPr>
      </w:pPr>
      <w:r>
        <w:rPr>
          <w:b/>
          <w:color w:val="1A3A5F"/>
          <w:sz w:val="32"/>
          <w:bdr w:val="single" w:sz="12" w:space="9" w:color="1A3A5F"/>
        </w:rPr>
        <w:t>Meridian Logistics</w:t>
      </w:r>
    </w:p>
    <w:p>
      <w:pPr>
        <w:pStyle w:val="BodyText"/>
        <w:bidi w:val="0"/>
        <w:spacing w:before="120" w:after="300"/>
        <w:ind w:hanging="0" w:start="0" w:end="0"/>
        <w:rPr>
          <w:b/>
          <w:color w:val="333333"/>
          <w:sz w:val="28"/>
          <w:bdr w:val="single" w:sz="12" w:space="9" w:color="1A3A5F"/>
        </w:rPr>
      </w:pPr>
      <w:r>
        <w:rPr>
          <w:b/>
          <w:color w:val="333333"/>
          <w:sz w:val="28"/>
          <w:bdr w:val="single" w:sz="12" w:space="9" w:color="1A3A5F"/>
        </w:rPr>
        <w:t>Annual Report Draft — Section 4: Operations</w:t>
      </w:r>
    </w:p>
    <w:tbl>
      <w:tblPr>
        <w:tblW w:w="11339" w:type="dxa"/>
        <w:jc w:val="start"/>
        <w:tblInd w:w="0" w:type="dxa"/>
        <w:tblLayout w:type="fixed"/>
        <w:tblCellMar>
          <w:top w:w="28" w:type="dxa"/>
          <w:start w:w="28" w:type="dxa"/>
          <w:bottom w:w="28" w:type="dxa"/>
          <w:end w:w="28" w:type="dxa"/>
        </w:tblCellMar>
      </w:tblPr>
      <w:tblGrid>
        <w:gridCol w:w="2846"/>
        <w:gridCol w:w="2050"/>
        <w:gridCol w:w="2629"/>
        <w:gridCol w:w="3814"/>
      </w:tblGrid>
      <w:tr>
        <w:trPr/>
        <w:tc>
          <w:tcPr>
            <w:tcW w:w="2846" w:type="dxa"/>
            <w:tcBorders/>
            <w:shd w:fill="F2F2F2" w:val="clear"/>
            <w:vAlign w:val="center"/>
          </w:tcPr>
          <w:p>
            <w:pPr>
              <w:pStyle w:val="TableContents"/>
              <w:bidi w:val="0"/>
              <w:spacing w:before="0" w:after="150"/>
              <w:ind w:hanging="0" w:start="0" w:end="0"/>
              <w:rPr>
                <w:b/>
              </w:rPr>
            </w:pPr>
            <w:r>
              <w:rPr>
                <w:b/>
              </w:rPr>
              <w:t>Document ID</w:t>
            </w:r>
          </w:p>
        </w:tc>
        <w:tc>
          <w:tcPr>
            <w:tcW w:w="2050" w:type="dxa"/>
            <w:tcBorders/>
            <w:vAlign w:val="center"/>
          </w:tcPr>
          <w:p>
            <w:pPr>
              <w:pStyle w:val="TableContents"/>
              <w:bidi w:val="0"/>
              <w:spacing w:before="0" w:after="150"/>
              <w:ind w:hanging="0" w:start="0" w:end="0"/>
              <w:rPr/>
            </w:pPr>
            <w:r>
              <w:rPr/>
              <w:t>ML-AR-2026-S4</w:t>
            </w:r>
          </w:p>
        </w:tc>
        <w:tc>
          <w:tcPr>
            <w:tcW w:w="2629" w:type="dxa"/>
            <w:tcBorders/>
            <w:shd w:fill="F2F2F2" w:val="clear"/>
            <w:vAlign w:val="center"/>
          </w:tcPr>
          <w:p>
            <w:pPr>
              <w:pStyle w:val="TableContents"/>
              <w:bidi w:val="0"/>
              <w:spacing w:before="0" w:after="150"/>
              <w:rPr>
                <w:b/>
              </w:rPr>
            </w:pPr>
            <w:r>
              <w:rPr>
                <w:b/>
              </w:rPr>
              <w:t>Revision</w:t>
            </w:r>
          </w:p>
        </w:tc>
        <w:tc>
          <w:tcPr>
            <w:tcW w:w="3814" w:type="dxa"/>
            <w:tcBorders/>
            <w:vAlign w:val="center"/>
          </w:tcPr>
          <w:p>
            <w:pPr>
              <w:pStyle w:val="TableContents"/>
              <w:bidi w:val="0"/>
              <w:spacing w:before="0" w:after="150"/>
              <w:ind w:hanging="0" w:start="0" w:end="0"/>
              <w:rPr/>
            </w:pPr>
            <w:r>
              <w:rPr/>
              <w:t>0.4 (Draft)</w:t>
            </w:r>
          </w:p>
        </w:tc>
      </w:tr>
      <w:tr>
        <w:trPr/>
        <w:tc>
          <w:tcPr>
            <w:tcW w:w="2846" w:type="dxa"/>
            <w:tcBorders/>
            <w:shd w:fill="F2F2F2" w:val="clear"/>
            <w:vAlign w:val="center"/>
          </w:tcPr>
          <w:p>
            <w:pPr>
              <w:pStyle w:val="TableContents"/>
              <w:bidi w:val="0"/>
              <w:spacing w:before="0" w:after="150"/>
              <w:rPr>
                <w:b/>
              </w:rPr>
            </w:pPr>
            <w:r>
              <w:rPr>
                <w:b/>
              </w:rPr>
              <w:t>Date Prepared</w:t>
            </w:r>
          </w:p>
        </w:tc>
        <w:tc>
          <w:tcPr>
            <w:tcW w:w="2050" w:type="dxa"/>
            <w:tcBorders/>
            <w:vAlign w:val="center"/>
          </w:tcPr>
          <w:p>
            <w:pPr>
              <w:pStyle w:val="TableContents"/>
              <w:bidi w:val="0"/>
              <w:spacing w:before="0" w:after="150"/>
              <w:ind w:hanging="0" w:start="0" w:end="0"/>
              <w:rPr/>
            </w:pPr>
            <w:r>
              <w:rPr/>
              <w:t>14 January 2026</w:t>
            </w:r>
          </w:p>
        </w:tc>
        <w:tc>
          <w:tcPr>
            <w:tcW w:w="2629" w:type="dxa"/>
            <w:tcBorders/>
            <w:shd w:fill="F2F2F2" w:val="clear"/>
            <w:vAlign w:val="center"/>
          </w:tcPr>
          <w:p>
            <w:pPr>
              <w:pStyle w:val="TableContents"/>
              <w:bidi w:val="0"/>
              <w:spacing w:before="0" w:after="150"/>
              <w:rPr>
                <w:b/>
              </w:rPr>
            </w:pPr>
            <w:r>
              <w:rPr>
                <w:b/>
              </w:rPr>
              <w:t>Prepared By</w:t>
            </w:r>
          </w:p>
        </w:tc>
        <w:tc>
          <w:tcPr>
            <w:tcW w:w="3814" w:type="dxa"/>
            <w:tcBorders/>
            <w:vAlign w:val="center"/>
          </w:tcPr>
          <w:p>
            <w:pPr>
              <w:pStyle w:val="TableContents"/>
              <w:bidi w:val="0"/>
              <w:spacing w:before="0" w:after="150"/>
              <w:ind w:hanging="0" w:start="0" w:end="0"/>
              <w:rPr/>
            </w:pPr>
            <w:r>
              <w:rPr/>
              <w:t>Office of the Chief Operating Officer</w:t>
            </w:r>
          </w:p>
        </w:tc>
      </w:tr>
      <w:tr>
        <w:trPr/>
        <w:tc>
          <w:tcPr>
            <w:tcW w:w="2846" w:type="dxa"/>
            <w:tcBorders/>
            <w:shd w:fill="F2F2F2" w:val="clear"/>
            <w:vAlign w:val="center"/>
          </w:tcPr>
          <w:p>
            <w:pPr>
              <w:pStyle w:val="TableContents"/>
              <w:bidi w:val="0"/>
              <w:spacing w:before="0" w:after="150"/>
              <w:rPr>
                <w:b/>
              </w:rPr>
            </w:pPr>
            <w:r>
              <w:rPr>
                <w:b/>
              </w:rPr>
              <w:t>Reporting Period</w:t>
            </w:r>
          </w:p>
        </w:tc>
        <w:tc>
          <w:tcPr>
            <w:tcW w:w="2050" w:type="dxa"/>
            <w:tcBorders/>
            <w:vAlign w:val="center"/>
          </w:tcPr>
          <w:p>
            <w:pPr>
              <w:pStyle w:val="TableContents"/>
              <w:bidi w:val="0"/>
              <w:spacing w:before="0" w:after="150"/>
              <w:ind w:hanging="0" w:start="0" w:end="0"/>
              <w:rPr/>
            </w:pPr>
            <w:r>
              <w:rPr/>
              <w:t>Fiscal Year 2025 (1 Jan 2025 – 31 Dec 2025)</w:t>
            </w:r>
          </w:p>
        </w:tc>
        <w:tc>
          <w:tcPr>
            <w:tcW w:w="2629" w:type="dxa"/>
            <w:tcBorders/>
            <w:shd w:fill="F2F2F2" w:val="clear"/>
            <w:vAlign w:val="center"/>
          </w:tcPr>
          <w:p>
            <w:pPr>
              <w:pStyle w:val="TableContents"/>
              <w:bidi w:val="0"/>
              <w:spacing w:before="0" w:after="150"/>
              <w:rPr>
                <w:b/>
              </w:rPr>
            </w:pPr>
            <w:r>
              <w:rPr>
                <w:b/>
              </w:rPr>
              <w:t>Status</w:t>
            </w:r>
          </w:p>
        </w:tc>
        <w:tc>
          <w:tcPr>
            <w:tcW w:w="3814" w:type="dxa"/>
            <w:tcBorders/>
            <w:vAlign w:val="center"/>
          </w:tcPr>
          <w:p>
            <w:pPr>
              <w:pStyle w:val="TableContents"/>
              <w:bidi w:val="0"/>
              <w:spacing w:before="0" w:after="150"/>
              <w:rPr/>
            </w:pPr>
            <w:r>
              <w:rPr/>
              <w:t>Internal Review — Not for External Distribution</w:t>
            </w:r>
          </w:p>
        </w:tc>
      </w:tr>
    </w:tbl>
    <w:p>
      <w:pPr>
        <w:pStyle w:val="Heading1"/>
        <w:bidi w:val="0"/>
        <w:jc w:val="start"/>
        <w:rPr/>
      </w:pPr>
      <w:r>
        <w:rPr/>
        <w:t>4.0 Operations Overview</w:t>
      </w:r>
    </w:p>
    <w:p>
      <w:pPr>
        <w:pStyle w:val="BodyText"/>
        <w:bidi w:val="0"/>
        <w:rPr/>
      </w:pPr>
      <w:r>
        <w:rPr/>
        <w:t xml:space="preserve">This section of the 2025 Annual Report provides a comprehensive account of Meridian Logistics' operational performance across all service lines during the fiscal year ended 31 December 2025. It covers network capacity, throughput volumes, service-level attainment, workforce and safety metrics, capital deployment, and the principal operational risks that shaped the year's results. All figures presented herein are unaudited and subject to final reconciliation by the Finance and Reporting function prior to external publication. </w:t>
      </w:r>
    </w:p>
    <w:p>
      <w:pPr>
        <w:pStyle w:val="Heading2"/>
        <w:bidi w:val="0"/>
        <w:jc w:val="start"/>
        <w:rPr/>
      </w:pPr>
      <w:r>
        <w:rPr/>
        <w:t>4.1 Network Capacity and Throughput</w:t>
      </w:r>
    </w:p>
    <w:p>
      <w:pPr>
        <w:pStyle w:val="BodyText"/>
        <w:bidi w:val="0"/>
        <w:rPr/>
      </w:pPr>
      <w:r>
        <w:rPr/>
        <w:t xml:space="preserve">During fiscal year 2025, Meridian Logistics operated a consolidated network spanning 42 regional hubs, 1,180 delivery stations, and an integrated fleet of 9,400 vehicles across road, rail, and last-mile segments. Total annual throughput reached 214.6 million parcels and 8.9 million freight pallets, representing a 6.2% year-over-year increase in unit volume. The growth was driven primarily by expansion of the e-commerce fulfillment corridor in the central region and the onboarding of three new enterprise contract clients in the healthcare and industrial sectors. </w:t>
      </w:r>
    </w:p>
    <w:tbl>
      <w:tblPr>
        <w:tblW w:w="11339" w:type="dxa"/>
        <w:jc w:val="start"/>
        <w:tblInd w:w="0" w:type="dxa"/>
        <w:tblLayout w:type="fixed"/>
        <w:tblCellMar>
          <w:top w:w="28" w:type="dxa"/>
          <w:start w:w="28" w:type="dxa"/>
          <w:bottom w:w="28" w:type="dxa"/>
          <w:end w:w="28" w:type="dxa"/>
        </w:tblCellMar>
      </w:tblPr>
      <w:tblGrid>
        <w:gridCol w:w="2971"/>
        <w:gridCol w:w="2905"/>
        <w:gridCol w:w="2905"/>
        <w:gridCol w:w="2558"/>
      </w:tblGrid>
      <w:tr>
        <w:trPr/>
        <w:tc>
          <w:tcPr>
            <w:tcW w:w="2971" w:type="dxa"/>
            <w:tcBorders/>
            <w:vAlign w:val="center"/>
          </w:tcPr>
          <w:p>
            <w:pPr>
              <w:pStyle w:val="TableHeading"/>
              <w:suppressLineNumbers/>
              <w:bidi w:val="0"/>
              <w:spacing w:before="0" w:after="150"/>
              <w:jc w:val="center"/>
              <w:rPr/>
            </w:pPr>
            <w:r>
              <w:rPr/>
              <w:t>Segment</w:t>
            </w:r>
          </w:p>
        </w:tc>
        <w:tc>
          <w:tcPr>
            <w:tcW w:w="2905" w:type="dxa"/>
            <w:tcBorders/>
            <w:vAlign w:val="center"/>
          </w:tcPr>
          <w:p>
            <w:pPr>
              <w:pStyle w:val="TableHeading"/>
              <w:suppressLineNumbers/>
              <w:bidi w:val="0"/>
              <w:spacing w:before="0" w:after="150"/>
              <w:jc w:val="center"/>
              <w:rPr/>
            </w:pPr>
            <w:r>
              <w:rPr/>
              <w:t>FY2025 Volume</w:t>
            </w:r>
          </w:p>
        </w:tc>
        <w:tc>
          <w:tcPr>
            <w:tcW w:w="2905" w:type="dxa"/>
            <w:tcBorders/>
            <w:vAlign w:val="center"/>
          </w:tcPr>
          <w:p>
            <w:pPr>
              <w:pStyle w:val="TableHeading"/>
              <w:suppressLineNumbers/>
              <w:bidi w:val="0"/>
              <w:spacing w:before="0" w:after="150"/>
              <w:jc w:val="center"/>
              <w:rPr/>
            </w:pPr>
            <w:r>
              <w:rPr/>
              <w:t>FY2024 Volume</w:t>
            </w:r>
          </w:p>
        </w:tc>
        <w:tc>
          <w:tcPr>
            <w:tcW w:w="2558" w:type="dxa"/>
            <w:tcBorders/>
            <w:vAlign w:val="center"/>
          </w:tcPr>
          <w:p>
            <w:pPr>
              <w:pStyle w:val="TableHeading"/>
              <w:suppressLineNumbers/>
              <w:bidi w:val="0"/>
              <w:spacing w:before="0" w:after="150"/>
              <w:jc w:val="center"/>
              <w:rPr/>
            </w:pPr>
            <w:r>
              <w:rPr/>
              <w:t>YoY Change</w:t>
            </w:r>
          </w:p>
        </w:tc>
      </w:tr>
      <w:tr>
        <w:trPr/>
        <w:tc>
          <w:tcPr>
            <w:tcW w:w="2971" w:type="dxa"/>
            <w:tcBorders/>
            <w:vAlign w:val="center"/>
          </w:tcPr>
          <w:p>
            <w:pPr>
              <w:pStyle w:val="TableContents"/>
              <w:bidi w:val="0"/>
              <w:spacing w:before="0" w:after="150"/>
              <w:rPr/>
            </w:pPr>
            <w:r>
              <w:rPr/>
              <w:t>Road Freight (pallets)</w:t>
            </w:r>
          </w:p>
        </w:tc>
        <w:tc>
          <w:tcPr>
            <w:tcW w:w="2905" w:type="dxa"/>
            <w:tcBorders/>
            <w:vAlign w:val="center"/>
          </w:tcPr>
          <w:p>
            <w:pPr>
              <w:pStyle w:val="TableContents"/>
              <w:bidi w:val="0"/>
              <w:spacing w:before="0" w:after="150"/>
              <w:rPr/>
            </w:pPr>
            <w:r>
              <w:rPr/>
              <w:t>6,420,000</w:t>
            </w:r>
          </w:p>
        </w:tc>
        <w:tc>
          <w:tcPr>
            <w:tcW w:w="2905" w:type="dxa"/>
            <w:tcBorders/>
            <w:vAlign w:val="center"/>
          </w:tcPr>
          <w:p>
            <w:pPr>
              <w:pStyle w:val="TableContents"/>
              <w:bidi w:val="0"/>
              <w:spacing w:before="0" w:after="150"/>
              <w:rPr/>
            </w:pPr>
            <w:r>
              <w:rPr/>
              <w:t>6,110,000</w:t>
            </w:r>
          </w:p>
        </w:tc>
        <w:tc>
          <w:tcPr>
            <w:tcW w:w="2558" w:type="dxa"/>
            <w:tcBorders/>
            <w:vAlign w:val="center"/>
          </w:tcPr>
          <w:p>
            <w:pPr>
              <w:pStyle w:val="TableContents"/>
              <w:bidi w:val="0"/>
              <w:spacing w:before="0" w:after="150"/>
              <w:rPr/>
            </w:pPr>
            <w:r>
              <w:rPr/>
              <w:t>+5.1%</w:t>
            </w:r>
          </w:p>
        </w:tc>
      </w:tr>
      <w:tr>
        <w:trPr/>
        <w:tc>
          <w:tcPr>
            <w:tcW w:w="2971" w:type="dxa"/>
            <w:tcBorders/>
            <w:vAlign w:val="center"/>
          </w:tcPr>
          <w:p>
            <w:pPr>
              <w:pStyle w:val="TableContents"/>
              <w:bidi w:val="0"/>
              <w:spacing w:before="0" w:after="150"/>
              <w:rPr/>
            </w:pPr>
            <w:r>
              <w:rPr/>
              <w:t>Rail Intermodal (pallets)</w:t>
            </w:r>
          </w:p>
        </w:tc>
        <w:tc>
          <w:tcPr>
            <w:tcW w:w="2905" w:type="dxa"/>
            <w:tcBorders/>
            <w:vAlign w:val="center"/>
          </w:tcPr>
          <w:p>
            <w:pPr>
              <w:pStyle w:val="TableContents"/>
              <w:bidi w:val="0"/>
              <w:spacing w:before="0" w:after="150"/>
              <w:rPr/>
            </w:pPr>
            <w:r>
              <w:rPr/>
              <w:t>1,890,000</w:t>
            </w:r>
          </w:p>
        </w:tc>
        <w:tc>
          <w:tcPr>
            <w:tcW w:w="2905" w:type="dxa"/>
            <w:tcBorders/>
            <w:vAlign w:val="center"/>
          </w:tcPr>
          <w:p>
            <w:pPr>
              <w:pStyle w:val="TableContents"/>
              <w:bidi w:val="0"/>
              <w:spacing w:before="0" w:after="150"/>
              <w:rPr/>
            </w:pPr>
            <w:r>
              <w:rPr/>
              <w:t>1,760,000</w:t>
            </w:r>
          </w:p>
        </w:tc>
        <w:tc>
          <w:tcPr>
            <w:tcW w:w="2558" w:type="dxa"/>
            <w:tcBorders/>
            <w:vAlign w:val="center"/>
          </w:tcPr>
          <w:p>
            <w:pPr>
              <w:pStyle w:val="TableContents"/>
              <w:bidi w:val="0"/>
              <w:spacing w:before="0" w:after="150"/>
              <w:rPr/>
            </w:pPr>
            <w:r>
              <w:rPr/>
              <w:t>+7.4%</w:t>
            </w:r>
          </w:p>
        </w:tc>
      </w:tr>
      <w:tr>
        <w:trPr/>
        <w:tc>
          <w:tcPr>
            <w:tcW w:w="2971" w:type="dxa"/>
            <w:tcBorders/>
            <w:vAlign w:val="center"/>
          </w:tcPr>
          <w:p>
            <w:pPr>
              <w:pStyle w:val="TableContents"/>
              <w:bidi w:val="0"/>
              <w:spacing w:before="0" w:after="150"/>
              <w:rPr/>
            </w:pPr>
            <w:r>
              <w:rPr/>
              <w:t>Last-Mile Parcels</w:t>
            </w:r>
          </w:p>
        </w:tc>
        <w:tc>
          <w:tcPr>
            <w:tcW w:w="2905" w:type="dxa"/>
            <w:tcBorders/>
            <w:vAlign w:val="center"/>
          </w:tcPr>
          <w:p>
            <w:pPr>
              <w:pStyle w:val="TableContents"/>
              <w:bidi w:val="0"/>
              <w:spacing w:before="0" w:after="150"/>
              <w:rPr/>
            </w:pPr>
            <w:r>
              <w:rPr/>
              <w:t>198,400,000</w:t>
            </w:r>
          </w:p>
        </w:tc>
        <w:tc>
          <w:tcPr>
            <w:tcW w:w="2905" w:type="dxa"/>
            <w:tcBorders/>
            <w:vAlign w:val="center"/>
          </w:tcPr>
          <w:p>
            <w:pPr>
              <w:pStyle w:val="TableContents"/>
              <w:bidi w:val="0"/>
              <w:spacing w:before="0" w:after="150"/>
              <w:rPr/>
            </w:pPr>
            <w:r>
              <w:rPr/>
              <w:t>186,200,000</w:t>
            </w:r>
          </w:p>
        </w:tc>
        <w:tc>
          <w:tcPr>
            <w:tcW w:w="2558" w:type="dxa"/>
            <w:tcBorders/>
            <w:vAlign w:val="center"/>
          </w:tcPr>
          <w:p>
            <w:pPr>
              <w:pStyle w:val="TableContents"/>
              <w:bidi w:val="0"/>
              <w:spacing w:before="0" w:after="150"/>
              <w:rPr/>
            </w:pPr>
            <w:r>
              <w:rPr/>
              <w:t>+6.6%</w:t>
            </w:r>
          </w:p>
        </w:tc>
      </w:tr>
      <w:tr>
        <w:trPr/>
        <w:tc>
          <w:tcPr>
            <w:tcW w:w="2971" w:type="dxa"/>
            <w:tcBorders/>
            <w:vAlign w:val="center"/>
          </w:tcPr>
          <w:p>
            <w:pPr>
              <w:pStyle w:val="TableContents"/>
              <w:bidi w:val="0"/>
              <w:spacing w:before="0" w:after="150"/>
              <w:rPr/>
            </w:pPr>
            <w:r>
              <w:rPr/>
              <w:t>Specialty / Cold Chain</w:t>
            </w:r>
          </w:p>
        </w:tc>
        <w:tc>
          <w:tcPr>
            <w:tcW w:w="2905" w:type="dxa"/>
            <w:tcBorders/>
            <w:vAlign w:val="center"/>
          </w:tcPr>
          <w:p>
            <w:pPr>
              <w:pStyle w:val="TableContents"/>
              <w:bidi w:val="0"/>
              <w:spacing w:before="0" w:after="150"/>
              <w:rPr/>
            </w:pPr>
            <w:r>
              <w:rPr/>
              <w:t>16,200,000</w:t>
            </w:r>
          </w:p>
        </w:tc>
        <w:tc>
          <w:tcPr>
            <w:tcW w:w="2905" w:type="dxa"/>
            <w:tcBorders/>
            <w:vAlign w:val="center"/>
          </w:tcPr>
          <w:p>
            <w:pPr>
              <w:pStyle w:val="TableContents"/>
              <w:bidi w:val="0"/>
              <w:spacing w:before="0" w:after="150"/>
              <w:rPr/>
            </w:pPr>
            <w:r>
              <w:rPr/>
              <w:t>14,900,000</w:t>
            </w:r>
          </w:p>
        </w:tc>
        <w:tc>
          <w:tcPr>
            <w:tcW w:w="2558" w:type="dxa"/>
            <w:tcBorders/>
            <w:vAlign w:val="center"/>
          </w:tcPr>
          <w:p>
            <w:pPr>
              <w:pStyle w:val="TableContents"/>
              <w:bidi w:val="0"/>
              <w:spacing w:before="0" w:after="150"/>
              <w:rPr/>
            </w:pPr>
            <w:r>
              <w:rPr/>
              <w:t>+8.7%</w:t>
            </w:r>
          </w:p>
        </w:tc>
      </w:tr>
    </w:tbl>
    <w:p>
      <w:pPr>
        <w:pStyle w:val="Heading2"/>
        <w:bidi w:val="0"/>
        <w:jc w:val="start"/>
        <w:rPr/>
      </w:pPr>
      <w:r>
        <w:rPr/>
        <w:t>4.2 Service-Level Performance</w:t>
      </w:r>
    </w:p>
    <w:p>
      <w:pPr>
        <w:pStyle w:val="BodyText"/>
        <w:bidi w:val="0"/>
        <w:rPr/>
      </w:pPr>
      <w:r>
        <w:rPr/>
        <w:t xml:space="preserve">Meridian Logistics maintained its commitment to contractual service-level agreements (SLAs) throughout the reporting period. Overall on-time delivery attainment stood at 94.3%, compared with 93.8% in the prior year. The specialty and cold-chain segment achieved the highest reliability at 97.1%, while last-mile parcel delivery recorded 93.6% on-time performance, slightly below the internal target of 95% due to seasonal peak-volume pressures in the fourth quarter. </w:t>
      </w:r>
    </w:p>
    <w:p>
      <w:pPr>
        <w:pStyle w:val="BodyText"/>
        <w:numPr>
          <w:ilvl w:val="0"/>
          <w:numId w:val="1"/>
        </w:numPr>
        <w:tabs>
          <w:tab w:val="clear" w:pos="1134"/>
          <w:tab w:val="left" w:pos="2149" w:leader="none"/>
        </w:tabs>
        <w:bidi w:val="0"/>
        <w:spacing w:before="0" w:after="0"/>
        <w:ind w:hanging="283" w:start="2149"/>
        <w:rPr/>
      </w:pPr>
      <w:r>
        <w:rPr>
          <w:rStyle w:val="Strong"/>
        </w:rPr>
        <w:t>On-Time Delivery (OTD):</w:t>
      </w:r>
      <w:r>
        <w:rPr/>
        <w:t xml:space="preserve"> 94.3% (FY2025) vs. 93.8% (FY2024) </w:t>
      </w:r>
    </w:p>
    <w:p>
      <w:pPr>
        <w:pStyle w:val="BodyText"/>
        <w:numPr>
          <w:ilvl w:val="0"/>
          <w:numId w:val="1"/>
        </w:numPr>
        <w:tabs>
          <w:tab w:val="clear" w:pos="1134"/>
          <w:tab w:val="left" w:pos="2149" w:leader="none"/>
        </w:tabs>
        <w:bidi w:val="0"/>
        <w:spacing w:before="0" w:after="0"/>
        <w:ind w:hanging="283" w:start="2149"/>
        <w:rPr/>
      </w:pPr>
      <w:r>
        <w:rPr>
          <w:rStyle w:val="Strong"/>
        </w:rPr>
        <w:t>Damage / Loss Rate:</w:t>
      </w:r>
      <w:r>
        <w:rPr/>
        <w:t xml:space="preserve"> 0.18% of total units, down from 0.22% </w:t>
      </w:r>
    </w:p>
    <w:p>
      <w:pPr>
        <w:pStyle w:val="BodyText"/>
        <w:numPr>
          <w:ilvl w:val="0"/>
          <w:numId w:val="1"/>
        </w:numPr>
        <w:tabs>
          <w:tab w:val="clear" w:pos="1134"/>
          <w:tab w:val="left" w:pos="2149" w:leader="none"/>
        </w:tabs>
        <w:bidi w:val="0"/>
        <w:spacing w:before="0" w:after="0"/>
        <w:ind w:hanging="283" w:start="2149"/>
        <w:rPr/>
      </w:pPr>
      <w:r>
        <w:rPr>
          <w:rStyle w:val="Strong"/>
        </w:rPr>
        <w:t>First-Pass Resolution (Claims):</w:t>
      </w:r>
      <w:r>
        <w:rPr/>
        <w:t xml:space="preserve"> 89.4% within 72 hours </w:t>
      </w:r>
    </w:p>
    <w:p>
      <w:pPr>
        <w:pStyle w:val="BodyText"/>
        <w:numPr>
          <w:ilvl w:val="0"/>
          <w:numId w:val="1"/>
        </w:numPr>
        <w:tabs>
          <w:tab w:val="clear" w:pos="1134"/>
          <w:tab w:val="left" w:pos="2149" w:leader="none"/>
        </w:tabs>
        <w:bidi w:val="0"/>
        <w:ind w:hanging="283" w:start="2149"/>
        <w:rPr/>
      </w:pPr>
      <w:r>
        <w:rPr>
          <w:rStyle w:val="Strong"/>
        </w:rPr>
        <w:t>Customer Satisfaction Index (CSI):</w:t>
      </w:r>
      <w:r>
        <w:rPr/>
        <w:t xml:space="preserve"> 4.2 / 5.0 (independent survey, Q4 2025) </w:t>
      </w:r>
    </w:p>
    <w:p>
      <w:pPr>
        <w:pStyle w:val="Heading2"/>
        <w:bidi w:val="0"/>
        <w:jc w:val="start"/>
        <w:rPr/>
      </w:pPr>
      <w:r>
        <w:rPr/>
        <w:t>4.3 Workforce and Safety</w:t>
      </w:r>
    </w:p>
    <w:p>
      <w:pPr>
        <w:pStyle w:val="BodyText"/>
        <w:bidi w:val="0"/>
        <w:rPr/>
      </w:pPr>
      <w:r>
        <w:rPr/>
        <w:t xml:space="preserve">The total operational headcount at year-end 2025 was 31,240 employees, an increase of 4.8% over the prior year, reflecting planned hiring in the central and western regional hubs. The company maintained a voluntary turnover rate of 11.2%, in line with industry benchmarks for the logistics sector. </w:t>
      </w:r>
    </w:p>
    <w:p>
      <w:pPr>
        <w:pStyle w:val="BodyText"/>
        <w:bidi w:val="0"/>
        <w:rPr/>
      </w:pPr>
      <w:r>
        <w:rPr/>
        <w:t xml:space="preserve">Safety remains a core operational priority. The total recordable incident rate (TRIR) for fiscal year 2025 was 1.42, a 9% improvement over the 1.57 recorded in FY2024. Zero fatalities were recorded across all operating sites during the reporting period. The company completed 18,600 hours of mandatory safety training and conducted 214 site-level safety audits, with a corrective-action closure rate of 96.5%. </w:t>
      </w:r>
    </w:p>
    <w:p>
      <w:pPr>
        <w:pStyle w:val="Heading2"/>
        <w:bidi w:val="0"/>
        <w:jc w:val="start"/>
        <w:rPr/>
      </w:pPr>
      <w:r>
        <w:rPr/>
        <w:t>4.4 Capital Expenditure and Asset Deployment</w:t>
      </w:r>
    </w:p>
    <w:p>
      <w:pPr>
        <w:pStyle w:val="BodyText"/>
        <w:bidi w:val="0"/>
        <w:rPr/>
      </w:pPr>
      <w:r>
        <w:rPr/>
        <w:t xml:space="preserve">Total capital expenditure for operations in FY2025 amounted to $412 million, allocated as follows: </w:t>
      </w:r>
    </w:p>
    <w:p>
      <w:pPr>
        <w:pStyle w:val="BodyText"/>
        <w:numPr>
          <w:ilvl w:val="0"/>
          <w:numId w:val="2"/>
        </w:numPr>
        <w:tabs>
          <w:tab w:val="clear" w:pos="1134"/>
          <w:tab w:val="left" w:pos="2149" w:leader="none"/>
        </w:tabs>
        <w:bidi w:val="0"/>
        <w:spacing w:before="0" w:after="0"/>
        <w:ind w:hanging="283" w:start="2149"/>
        <w:rPr/>
      </w:pPr>
      <w:r>
        <w:rPr>
          <w:rStyle w:val="Strong"/>
        </w:rPr>
        <w:t>Fleet Renewal:</w:t>
      </w:r>
      <w:r>
        <w:rPr/>
        <w:t xml:space="preserve"> $198 million — acquisition of 1,850 new vehicles, including 620 electric last-mile units, and major overhaul of 3,200 existing units. </w:t>
      </w:r>
    </w:p>
    <w:p>
      <w:pPr>
        <w:pStyle w:val="BodyText"/>
        <w:numPr>
          <w:ilvl w:val="0"/>
          <w:numId w:val="2"/>
        </w:numPr>
        <w:tabs>
          <w:tab w:val="clear" w:pos="1134"/>
          <w:tab w:val="left" w:pos="2149" w:leader="none"/>
        </w:tabs>
        <w:bidi w:val="0"/>
        <w:spacing w:before="0" w:after="0"/>
        <w:ind w:hanging="283" w:start="2149"/>
        <w:rPr/>
      </w:pPr>
      <w:r>
        <w:rPr>
          <w:rStyle w:val="Strong"/>
        </w:rPr>
        <w:t>Facility Upgrades:</w:t>
      </w:r>
      <w:r>
        <w:rPr/>
        <w:t xml:space="preserve"> $134 million — automation of sortation lines at 12 regional hubs, expansion of warehouse capacity by 420,000 square feet, and cold-chain infrastructure upgrades. </w:t>
      </w:r>
    </w:p>
    <w:p>
      <w:pPr>
        <w:pStyle w:val="BodyText"/>
        <w:numPr>
          <w:ilvl w:val="0"/>
          <w:numId w:val="2"/>
        </w:numPr>
        <w:tabs>
          <w:tab w:val="clear" w:pos="1134"/>
          <w:tab w:val="left" w:pos="2149" w:leader="none"/>
        </w:tabs>
        <w:bidi w:val="0"/>
        <w:ind w:hanging="283" w:start="2149"/>
        <w:rPr/>
      </w:pPr>
      <w:r>
        <w:rPr>
          <w:rStyle w:val="Strong"/>
        </w:rPr>
        <w:t>Technology and Systems:</w:t>
      </w:r>
      <w:r>
        <w:rPr/>
        <w:t xml:space="preserve"> $80 million — deployment of the next-generation transportation management system (TMS), real-time fleet telemetry integration, and cybersecurity hardening of operational data networks. </w:t>
      </w:r>
    </w:p>
    <w:p>
      <w:pPr>
        <w:pStyle w:val="Heading2"/>
        <w:bidi w:val="0"/>
        <w:jc w:val="start"/>
        <w:rPr/>
      </w:pPr>
      <w:r>
        <w:rPr/>
        <w:t>4.5 Operational Risk and Contingency</w:t>
      </w:r>
    </w:p>
    <w:p>
      <w:pPr>
        <w:pStyle w:val="BodyText"/>
        <w:bidi w:val="0"/>
        <w:rPr/>
      </w:pPr>
      <w:r>
        <w:rPr/>
        <w:t xml:space="preserve">The principal operational risks identified during the reporting period included seasonal demand volatility, supply-chain disruptions affecting third-party fuel and spare-parts procurement, and regulatory changes pertaining to emissions standards in two metropolitan operating zones. Mitigation measures included diversification of supplier contracts, pre-positioning of critical spare inventory at 15 strategic depots, and early engagement with regulatory bodies to ensure compliance timelines were met without service interruption. No material operational disruption exceeding 24 hours was recorded at any single hub during the year. </w:t>
      </w:r>
    </w:p>
    <w:p>
      <w:pPr>
        <w:pStyle w:val="Heading2"/>
        <w:bidi w:val="0"/>
        <w:jc w:val="start"/>
        <w:rPr/>
      </w:pPr>
      <w:r>
        <w:rPr/>
        <w:t>4.6 Outlook and Priorities for FY2026</w:t>
      </w:r>
    </w:p>
    <w:p>
      <w:pPr>
        <w:pStyle w:val="BodyText"/>
        <w:bidi w:val="0"/>
        <w:rPr/>
      </w:pPr>
      <w:r>
        <w:rPr/>
        <w:t xml:space="preserve">For the forthcoming fiscal year, the Operations function will focus on three strategic priorities: (i) completion of the remaining 8 hub automation projects scheduled for Q2–Q3 2026; (ii) scaling the electric vehicle fleet to 1,400 units to support the company's 2030 decarbonization target; and (iii) deepening integration of predictive analytics into route planning and capacity allocation to improve cost-per-unit efficiency by an estimated 3–4%. Detailed budgetary commitments for these initiatives are set out in Section 5 (Financial Review) of this report. </w:t>
      </w:r>
    </w:p>
    <w:p>
      <w:pPr>
        <w:pStyle w:val="Heading2"/>
        <w:bidi w:val="0"/>
        <w:jc w:val="start"/>
        <w:rPr/>
      </w:pPr>
      <w:r>
        <w:rPr/>
        <w:t>4.7 Revision History</w:t>
      </w:r>
    </w:p>
    <w:tbl>
      <w:tblPr>
        <w:tblW w:w="11339" w:type="dxa"/>
        <w:jc w:val="start"/>
        <w:tblInd w:w="0" w:type="dxa"/>
        <w:tblLayout w:type="fixed"/>
        <w:tblCellMar>
          <w:top w:w="28" w:type="dxa"/>
          <w:start w:w="28" w:type="dxa"/>
          <w:bottom w:w="28" w:type="dxa"/>
          <w:end w:w="28" w:type="dxa"/>
        </w:tblCellMar>
      </w:tblPr>
      <w:tblGrid>
        <w:gridCol w:w="2026"/>
        <w:gridCol w:w="2254"/>
        <w:gridCol w:w="2820"/>
        <w:gridCol w:w="4239"/>
      </w:tblGrid>
      <w:tr>
        <w:trPr/>
        <w:tc>
          <w:tcPr>
            <w:tcW w:w="2026" w:type="dxa"/>
            <w:tcBorders/>
            <w:vAlign w:val="center"/>
          </w:tcPr>
          <w:p>
            <w:pPr>
              <w:pStyle w:val="TableHeading"/>
              <w:suppressLineNumbers/>
              <w:bidi w:val="0"/>
              <w:spacing w:before="0" w:after="150"/>
              <w:jc w:val="center"/>
              <w:rPr/>
            </w:pPr>
            <w:r>
              <w:rPr/>
              <w:t>Rev.</w:t>
            </w:r>
          </w:p>
        </w:tc>
        <w:tc>
          <w:tcPr>
            <w:tcW w:w="2254" w:type="dxa"/>
            <w:tcBorders/>
            <w:vAlign w:val="center"/>
          </w:tcPr>
          <w:p>
            <w:pPr>
              <w:pStyle w:val="TableHeading"/>
              <w:suppressLineNumbers/>
              <w:bidi w:val="0"/>
              <w:spacing w:before="0" w:after="150"/>
              <w:jc w:val="center"/>
              <w:rPr/>
            </w:pPr>
            <w:r>
              <w:rPr/>
              <w:t>Date</w:t>
            </w:r>
          </w:p>
        </w:tc>
        <w:tc>
          <w:tcPr>
            <w:tcW w:w="2820" w:type="dxa"/>
            <w:tcBorders/>
            <w:vAlign w:val="center"/>
          </w:tcPr>
          <w:p>
            <w:pPr>
              <w:pStyle w:val="TableHeading"/>
              <w:suppressLineNumbers/>
              <w:bidi w:val="0"/>
              <w:spacing w:before="0" w:after="150"/>
              <w:jc w:val="center"/>
              <w:rPr/>
            </w:pPr>
            <w:r>
              <w:rPr/>
              <w:t>Author</w:t>
            </w:r>
          </w:p>
        </w:tc>
        <w:tc>
          <w:tcPr>
            <w:tcW w:w="4239" w:type="dxa"/>
            <w:tcBorders/>
            <w:vAlign w:val="center"/>
          </w:tcPr>
          <w:p>
            <w:pPr>
              <w:pStyle w:val="TableHeading"/>
              <w:suppressLineNumbers/>
              <w:bidi w:val="0"/>
              <w:spacing w:before="0" w:after="150"/>
              <w:jc w:val="center"/>
              <w:rPr/>
            </w:pPr>
            <w:r>
              <w:rPr/>
              <w:t>Description</w:t>
            </w:r>
          </w:p>
        </w:tc>
      </w:tr>
      <w:tr>
        <w:trPr/>
        <w:tc>
          <w:tcPr>
            <w:tcW w:w="2026" w:type="dxa"/>
            <w:tcBorders/>
            <w:vAlign w:val="center"/>
          </w:tcPr>
          <w:p>
            <w:pPr>
              <w:pStyle w:val="TableContents"/>
              <w:bidi w:val="0"/>
              <w:spacing w:before="0" w:after="150"/>
              <w:rPr/>
            </w:pPr>
            <w:r>
              <w:rPr/>
              <w:t>0.1</w:t>
            </w:r>
          </w:p>
        </w:tc>
        <w:tc>
          <w:tcPr>
            <w:tcW w:w="2254" w:type="dxa"/>
            <w:tcBorders/>
            <w:vAlign w:val="center"/>
          </w:tcPr>
          <w:p>
            <w:pPr>
              <w:pStyle w:val="TableContents"/>
              <w:bidi w:val="0"/>
              <w:spacing w:before="0" w:after="150"/>
              <w:rPr/>
            </w:pPr>
            <w:r>
              <w:rPr/>
              <w:t>03 Jan 2026</w:t>
            </w:r>
          </w:p>
        </w:tc>
        <w:tc>
          <w:tcPr>
            <w:tcW w:w="2820" w:type="dxa"/>
            <w:tcBorders/>
            <w:vAlign w:val="center"/>
          </w:tcPr>
          <w:p>
            <w:pPr>
              <w:pStyle w:val="TableContents"/>
              <w:bidi w:val="0"/>
              <w:spacing w:before="0" w:after="150"/>
              <w:rPr/>
            </w:pPr>
            <w:r>
              <w:rPr/>
              <w:t>Ops Planning Team</w:t>
            </w:r>
          </w:p>
        </w:tc>
        <w:tc>
          <w:tcPr>
            <w:tcW w:w="4239" w:type="dxa"/>
            <w:tcBorders/>
            <w:vAlign w:val="center"/>
          </w:tcPr>
          <w:p>
            <w:pPr>
              <w:pStyle w:val="TableContents"/>
              <w:bidi w:val="0"/>
              <w:spacing w:before="0" w:after="150"/>
              <w:rPr/>
            </w:pPr>
            <w:r>
              <w:rPr/>
              <w:t>Initial draft — volume and SLA data populated</w:t>
            </w:r>
          </w:p>
        </w:tc>
      </w:tr>
      <w:tr>
        <w:trPr/>
        <w:tc>
          <w:tcPr>
            <w:tcW w:w="2026" w:type="dxa"/>
            <w:tcBorders/>
            <w:vAlign w:val="center"/>
          </w:tcPr>
          <w:p>
            <w:pPr>
              <w:pStyle w:val="TableContents"/>
              <w:bidi w:val="0"/>
              <w:spacing w:before="0" w:after="150"/>
              <w:rPr/>
            </w:pPr>
            <w:r>
              <w:rPr/>
              <w:t>0.2</w:t>
            </w:r>
          </w:p>
        </w:tc>
        <w:tc>
          <w:tcPr>
            <w:tcW w:w="2254" w:type="dxa"/>
            <w:tcBorders/>
            <w:vAlign w:val="center"/>
          </w:tcPr>
          <w:p>
            <w:pPr>
              <w:pStyle w:val="TableContents"/>
              <w:bidi w:val="0"/>
              <w:spacing w:before="0" w:after="150"/>
              <w:rPr/>
            </w:pPr>
            <w:r>
              <w:rPr/>
              <w:t>08 Jan 2026</w:t>
            </w:r>
          </w:p>
        </w:tc>
        <w:tc>
          <w:tcPr>
            <w:tcW w:w="2820" w:type="dxa"/>
            <w:tcBorders/>
            <w:vAlign w:val="center"/>
          </w:tcPr>
          <w:p>
            <w:pPr>
              <w:pStyle w:val="TableContents"/>
              <w:bidi w:val="0"/>
              <w:spacing w:before="0" w:after="150"/>
              <w:rPr/>
            </w:pPr>
            <w:r>
              <w:rPr/>
              <w:t>HR &amp; Safety Division</w:t>
            </w:r>
          </w:p>
        </w:tc>
        <w:tc>
          <w:tcPr>
            <w:tcW w:w="4239" w:type="dxa"/>
            <w:tcBorders/>
            <w:vAlign w:val="center"/>
          </w:tcPr>
          <w:p>
            <w:pPr>
              <w:pStyle w:val="TableContents"/>
              <w:bidi w:val="0"/>
              <w:spacing w:before="0" w:after="150"/>
              <w:rPr/>
            </w:pPr>
            <w:r>
              <w:rPr/>
              <w:t>Workforce and safety metrics added</w:t>
            </w:r>
          </w:p>
        </w:tc>
      </w:tr>
      <w:tr>
        <w:trPr/>
        <w:tc>
          <w:tcPr>
            <w:tcW w:w="2026" w:type="dxa"/>
            <w:tcBorders/>
            <w:vAlign w:val="center"/>
          </w:tcPr>
          <w:p>
            <w:pPr>
              <w:pStyle w:val="TableContents"/>
              <w:bidi w:val="0"/>
              <w:spacing w:before="0" w:after="150"/>
              <w:rPr/>
            </w:pPr>
            <w:r>
              <w:rPr/>
              <w:t>0.3</w:t>
            </w:r>
          </w:p>
        </w:tc>
        <w:tc>
          <w:tcPr>
            <w:tcW w:w="2254" w:type="dxa"/>
            <w:tcBorders/>
            <w:vAlign w:val="center"/>
          </w:tcPr>
          <w:p>
            <w:pPr>
              <w:pStyle w:val="TableContents"/>
              <w:bidi w:val="0"/>
              <w:spacing w:before="0" w:after="150"/>
              <w:rPr/>
            </w:pPr>
            <w:r>
              <w:rPr/>
              <w:t>11 Jan 2026</w:t>
            </w:r>
          </w:p>
        </w:tc>
        <w:tc>
          <w:tcPr>
            <w:tcW w:w="2820" w:type="dxa"/>
            <w:tcBorders/>
            <w:vAlign w:val="center"/>
          </w:tcPr>
          <w:p>
            <w:pPr>
              <w:pStyle w:val="TableContents"/>
              <w:bidi w:val="0"/>
              <w:spacing w:before="0" w:after="150"/>
              <w:rPr/>
            </w:pPr>
            <w:r>
              <w:rPr/>
              <w:t>Capital Projects Group</w:t>
            </w:r>
          </w:p>
        </w:tc>
        <w:tc>
          <w:tcPr>
            <w:tcW w:w="4239" w:type="dxa"/>
            <w:tcBorders/>
            <w:vAlign w:val="center"/>
          </w:tcPr>
          <w:p>
            <w:pPr>
              <w:pStyle w:val="TableContents"/>
              <w:bidi w:val="0"/>
              <w:spacing w:before="0" w:after="150"/>
              <w:rPr/>
            </w:pPr>
            <w:r>
              <w:rPr/>
              <w:t>CapEx allocation and asset detail finalized</w:t>
            </w:r>
          </w:p>
        </w:tc>
      </w:tr>
      <w:tr>
        <w:trPr/>
        <w:tc>
          <w:tcPr>
            <w:tcW w:w="2026" w:type="dxa"/>
            <w:tcBorders/>
            <w:vAlign w:val="center"/>
          </w:tcPr>
          <w:p>
            <w:pPr>
              <w:pStyle w:val="TableContents"/>
              <w:bidi w:val="0"/>
              <w:spacing w:before="0" w:after="150"/>
              <w:rPr/>
            </w:pPr>
            <w:r>
              <w:rPr/>
              <w:t>0.4</w:t>
            </w:r>
          </w:p>
        </w:tc>
        <w:tc>
          <w:tcPr>
            <w:tcW w:w="2254" w:type="dxa"/>
            <w:tcBorders/>
            <w:vAlign w:val="center"/>
          </w:tcPr>
          <w:p>
            <w:pPr>
              <w:pStyle w:val="TableContents"/>
              <w:bidi w:val="0"/>
              <w:spacing w:before="0" w:after="150"/>
              <w:rPr/>
            </w:pPr>
            <w:r>
              <w:rPr/>
              <w:t>14 Jan 2026</w:t>
            </w:r>
          </w:p>
        </w:tc>
        <w:tc>
          <w:tcPr>
            <w:tcW w:w="2820" w:type="dxa"/>
            <w:tcBorders/>
            <w:vAlign w:val="center"/>
          </w:tcPr>
          <w:p>
            <w:pPr>
              <w:pStyle w:val="TableContents"/>
              <w:bidi w:val="0"/>
              <w:spacing w:before="0" w:after="150"/>
              <w:rPr/>
            </w:pPr>
            <w:r>
              <w:rPr/>
              <w:t>COO Office</w:t>
            </w:r>
          </w:p>
        </w:tc>
        <w:tc>
          <w:tcPr>
            <w:tcW w:w="4239" w:type="dxa"/>
            <w:tcBorders/>
            <w:vAlign w:val="center"/>
          </w:tcPr>
          <w:p>
            <w:pPr>
              <w:pStyle w:val="TableContents"/>
              <w:bidi w:val="0"/>
              <w:spacing w:before="0" w:after="150"/>
              <w:rPr/>
            </w:pPr>
            <w:r>
              <w:rPr/>
              <w:t>Risk section and FY2026 outlook added; internal review copy</w:t>
            </w:r>
          </w:p>
        </w:tc>
      </w:tr>
    </w:tbl>
    <w:p>
      <w:pPr>
        <w:pStyle w:val="Heading2"/>
        <w:bidi w:val="0"/>
        <w:jc w:val="start"/>
        <w:rPr/>
      </w:pPr>
      <w:r>
        <w:rPr/>
        <w:t>4.8 Distribution and Approval</w:t>
      </w:r>
    </w:p>
    <w:p>
      <w:pPr>
        <w:pStyle w:val="BodyText"/>
        <w:bidi w:val="0"/>
        <w:rPr/>
      </w:pPr>
      <w:r>
        <w:rPr/>
        <w:t xml:space="preserve">This draft is circulated internally for review and comment only. Final approval of Section 4 is the responsibility of the Chief Operating Officer, subject to concurrence by the General Counsel and the Head of Finance. Comments on this draft should be submitted to the Office of the COO no later than 28 January 2026 to permit incorporation ahead of the consolidated annual report assembly. </w:t>
      </w:r>
    </w:p>
    <w:p>
      <w:pPr>
        <w:pStyle w:val="BodyText"/>
        <w:keepLines/>
        <w:bidi w:val="0"/>
        <w:spacing w:before="540" w:after="150"/>
        <w:ind w:hanging="0" w:start="0" w:end="0"/>
        <w:rPr/>
      </w:pPr>
      <w:r>
        <w:rPr>
          <w:rStyle w:val="Strong"/>
        </w:rPr>
        <w:t>Prepared by:</w:t>
      </w:r>
    </w:p>
    <w:p>
      <w:pPr>
        <w:pStyle w:val="BodyText"/>
        <w:keepLines/>
        <w:bidi w:val="0"/>
        <w:spacing w:before="450" w:after="150"/>
        <w:ind w:hanging="0" w:start="0" w:end="0"/>
        <w:rPr>
          <w:sz w:val="20"/>
          <w:bdr w:val="single" w:sz="2" w:space="3" w:color="000000"/>
        </w:rPr>
      </w:pPr>
      <w:r>
        <w:rPr>
          <w:sz w:val="20"/>
          <w:bdr w:val="single" w:sz="2" w:space="3" w:color="000000"/>
        </w:rPr>
        <w:t xml:space="preserve">[SIGNATURE — Chief Operating Officer] </w:t>
      </w:r>
    </w:p>
    <w:p>
      <w:pPr>
        <w:pStyle w:val="BodyText"/>
        <w:keepLines/>
        <w:bidi w:val="0"/>
        <w:spacing w:before="90" w:after="150"/>
        <w:ind w:hanging="0" w:start="0" w:end="0"/>
        <w:rPr/>
      </w:pPr>
      <w:r>
        <w:rPr/>
        <w:t>Chief Operating Officer, Meridian Logistics</w:t>
      </w:r>
    </w:p>
    <w:p>
      <w:pPr>
        <w:pStyle w:val="BodyText"/>
        <w:keepLines/>
        <w:bidi w:val="0"/>
        <w:spacing w:before="300" w:after="150"/>
        <w:ind w:hanging="0" w:start="0" w:end="0"/>
        <w:rPr/>
      </w:pPr>
      <w:r>
        <w:rPr>
          <w:rStyle w:val="Strong"/>
        </w:rPr>
        <w:t>Reviewed by:</w:t>
      </w:r>
    </w:p>
    <w:p>
      <w:pPr>
        <w:pStyle w:val="BodyText"/>
        <w:keepLines/>
        <w:bidi w:val="0"/>
        <w:spacing w:before="450" w:after="150"/>
        <w:ind w:hanging="0" w:start="0" w:end="0"/>
        <w:rPr>
          <w:sz w:val="20"/>
          <w:bdr w:val="single" w:sz="2" w:space="3" w:color="000000"/>
        </w:rPr>
      </w:pPr>
      <w:r>
        <w:rPr>
          <w:sz w:val="20"/>
          <w:bdr w:val="single" w:sz="2" w:space="3" w:color="000000"/>
        </w:rPr>
        <w:t xml:space="preserve">[SIGNATURE — General Counsel] </w:t>
      </w:r>
    </w:p>
    <w:p>
      <w:pPr>
        <w:pStyle w:val="BodyText"/>
        <w:keepLines/>
        <w:bidi w:val="0"/>
        <w:spacing w:before="90" w:after="150"/>
        <w:ind w:hanging="0" w:start="0" w:end="0"/>
        <w:rPr/>
      </w:pPr>
      <w:r>
        <w:rPr/>
        <w:t>General Counsel, Meridian Logistics</w:t>
      </w:r>
    </w:p>
    <w:p>
      <w:pPr>
        <w:pStyle w:val="BodyText"/>
        <w:bidi w:val="0"/>
        <w:spacing w:before="600" w:after="150"/>
        <w:ind w:hanging="0" w:start="0" w:end="0"/>
        <w:jc w:val="center"/>
        <w:rPr>
          <w:color w:val="555555"/>
          <w:sz w:val="19"/>
          <w:bdr w:val="single" w:sz="2" w:space="9" w:color="999999"/>
        </w:rPr>
      </w:pPr>
      <w:r>
        <w:rPr>
          <w:color w:val="555555"/>
          <w:sz w:val="19"/>
          <w:bdr w:val="single" w:sz="2" w:space="9" w:color="999999"/>
        </w:rPr>
        <w:t xml:space="preserve">© 2026 Meridian Logistics. Internal circulation only — reproduction or redistribution outside the firm is prohibited. </w:t>
      </w:r>
    </w:p>
    <w:p>
      <w:pPr>
        <w:pStyle w:val="BodyText"/>
        <w:bidi w:val="0"/>
        <w:spacing w:before="150" w:after="150"/>
        <w:ind w:hanging="0" w:start="0" w:end="0"/>
        <w:jc w:val="center"/>
        <w:rPr>
          <w:color w:val="777777"/>
          <w:sz w:val="18"/>
        </w:rPr>
      </w:pPr>
      <w:r>
        <w:rPr>
          <w:color w:val="777777"/>
          <w:sz w:val="18"/>
        </w:rPr>
        <w:t>[End of document]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728" w:after="1728"/>
      <w:ind w:start="1440" w:end="1440"/>
    </w:pPr>
    <w:rPr>
      <w:rFonts w:ascii="Calibri;Arial;sans-serif" w:hAnsi="Calibri;Arial;sans-serif" w:eastAsia="Calibri;Arial;sans-serif" w:cs="Calibri;Arial;sans-serif"/>
      <w:color w:val="222222"/>
      <w:sz w:val="22"/>
      <w:szCs w:val="22"/>
      <w:lang w:val="en-US" w:eastAsia="zh-CN" w:bidi="hi-IN"/>
    </w:rPr>
  </w:style>
  <w:style w:type="paragraph" w:styleId="Heading1">
    <w:name w:val="Heading 1"/>
    <w:basedOn w:val="Heading"/>
    <w:next w:val="BodyText"/>
    <w:qFormat/>
    <w:pPr>
      <w:pBdr>
        <w:bottom w:val="single" w:sz="2" w:space="3" w:color="1A3A5F"/>
      </w:pBdr>
      <w:spacing w:before="420" w:after="180"/>
    </w:pPr>
    <w:rPr>
      <w:rFonts w:ascii="Noto Sans" w:hAnsi="Noto Sans"/>
      <w:b/>
      <w:bCs/>
      <w:color w:val="1A3A5F"/>
      <w:sz w:val="30"/>
      <w:szCs w:val="30"/>
    </w:rPr>
  </w:style>
  <w:style w:type="paragraph" w:styleId="Heading2">
    <w:name w:val="Heading 2"/>
    <w:basedOn w:val="Heading"/>
    <w:next w:val="BodyText"/>
    <w:qFormat/>
    <w:pPr>
      <w:spacing w:before="300" w:after="120"/>
      <w:outlineLvl w:val="1"/>
    </w:pPr>
    <w:rPr>
      <w:rFonts w:ascii="Liberation Serif" w:hAnsi="Liberation Serif" w:eastAsia="Noto Serif CJK SC" w:cs="Noto Sans Devanagari"/>
      <w:b/>
      <w:bCs/>
      <w:color w:val="2C4A6E"/>
      <w:sz w:val="25"/>
      <w:szCs w:val="25"/>
    </w:rPr>
  </w:style>
  <w:style w:type="paragraph" w:styleId="Heading3">
    <w:name w:val="Heading 3"/>
    <w:basedOn w:val="Heading"/>
    <w:next w:val="BodyText"/>
    <w:qFormat/>
    <w:pPr>
      <w:spacing w:before="210" w:after="90"/>
      <w:outlineLvl w:val="2"/>
    </w:pPr>
    <w:rPr>
      <w:rFonts w:ascii="Liberation Serif" w:hAnsi="Liberation Serif" w:eastAsia="Noto Serif CJK SC" w:cs="Noto Sans Devanagari"/>
      <w:b/>
      <w:bCs/>
      <w:color w:val="444444"/>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5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Annual Report Draft — Section 4: Operations</dc:title>
</cp:coreProperties>
</file>

<file path=docProps/custom.xml><?xml version="1.0" encoding="utf-8"?>
<Properties xmlns="http://schemas.openxmlformats.org/officeDocument/2006/custom-properties" xmlns:vt="http://schemas.openxmlformats.org/officeDocument/2006/docPropsVTypes"/>
</file>