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6152" w:type="dxa"/>
        <w:jc w:val="start"/>
        <w:tblInd w:w="0" w:type="dxa"/>
        <w:tblLayout w:type="fixed"/>
        <w:tblCellMar>
          <w:top w:w="28" w:type="dxa"/>
          <w:start w:w="28" w:type="dxa"/>
          <w:bottom w:w="28" w:type="dxa"/>
          <w:end w:w="28" w:type="dxa"/>
        </w:tblCellMar>
      </w:tblPr>
      <w:tblGrid>
        <w:gridCol w:w="4275"/>
        <w:gridCol w:w="1877"/>
      </w:tblGrid>
      <w:tr>
        <w:trPr/>
        <w:tc>
          <w:tcPr>
            <w:tcW w:w="4275" w:type="dxa"/>
            <w:tcBorders/>
            <w:vAlign w:val="center"/>
          </w:tcPr>
          <w:p>
            <w:pPr>
              <w:pStyle w:val="TableContents"/>
              <w:bidi w:val="0"/>
              <w:spacing w:before="120" w:after="120"/>
              <w:jc w:val="start"/>
              <w:rPr/>
            </w:pPr>
            <w:r>
              <w:rPr>
                <w:rStyle w:val="StrongEmphasis"/>
              </w:rPr>
              <w:t>Document Reference:</w:t>
            </w:r>
            <w:r>
              <w:rPr/>
              <w:t xml:space="preserve"> TAC-2025-{PLACEHOLDER_REF}</w:t>
            </w:r>
          </w:p>
        </w:tc>
        <w:tc>
          <w:tcPr>
            <w:tcW w:w="1877" w:type="dxa"/>
            <w:tcBorders/>
            <w:vAlign w:val="center"/>
          </w:tcPr>
          <w:p>
            <w:pPr>
              <w:pStyle w:val="TableContents"/>
              <w:bidi w:val="0"/>
              <w:spacing w:before="120" w:after="120"/>
              <w:jc w:val="end"/>
              <w:rPr/>
            </w:pPr>
            <w:r>
              <w:rPr>
                <w:rStyle w:val="StrongEmphasis"/>
              </w:rPr>
              <w:t>Version:</w:t>
            </w:r>
            <w:r>
              <w:rPr/>
              <w:t xml:space="preserve"> 3.2</w:t>
            </w:r>
          </w:p>
        </w:tc>
      </w:tr>
      <w:tr>
        <w:trPr/>
        <w:tc>
          <w:tcPr>
            <w:tcW w:w="4275" w:type="dxa"/>
            <w:tcBorders/>
            <w:vAlign w:val="center"/>
          </w:tcPr>
          <w:p>
            <w:pPr>
              <w:pStyle w:val="TableContents"/>
              <w:bidi w:val="0"/>
              <w:spacing w:before="120" w:after="120"/>
              <w:jc w:val="start"/>
              <w:rPr/>
            </w:pPr>
            <w:r>
              <w:rPr>
                <w:rStyle w:val="StrongEmphasis"/>
              </w:rPr>
              <w:t>Effective Date:</w:t>
            </w:r>
            <w:r>
              <w:rPr/>
              <w:t xml:space="preserve"> {PLACEHOLDER_DATE}</w:t>
            </w:r>
          </w:p>
        </w:tc>
        <w:tc>
          <w:tcPr>
            <w:tcW w:w="1877" w:type="dxa"/>
            <w:tcBorders/>
            <w:vAlign w:val="center"/>
          </w:tcPr>
          <w:p>
            <w:pPr>
              <w:pStyle w:val="TableContents"/>
              <w:bidi w:val="0"/>
              <w:spacing w:before="120" w:after="120"/>
              <w:jc w:val="end"/>
              <w:rPr/>
            </w:pPr>
            <w:r>
              <w:rPr>
                <w:rStyle w:val="StrongEmphasis"/>
              </w:rPr>
              <w:t>Classification:</w:t>
            </w:r>
            <w:r>
              <w:rPr/>
              <w:t xml:space="preserve"> Public</w:t>
            </w:r>
          </w:p>
        </w:tc>
      </w:tr>
    </w:tbl>
    <w:p>
      <w:pPr>
        <w:pStyle w:val="Heading1"/>
        <w:bidi w:val="0"/>
        <w:spacing w:before="240" w:after="400"/>
        <w:jc w:val="center"/>
        <w:rPr/>
      </w:pPr>
      <w:r>
        <w:rPr/>
        <w:t>Terms and Conditions of Service</w:t>
      </w:r>
    </w:p>
    <w:p>
      <w:pPr>
        <w:pStyle w:val="TextBody"/>
        <w:bidi w:val="0"/>
        <w:spacing w:before="120" w:after="120"/>
        <w:jc w:val="both"/>
        <w:rPr/>
      </w:pPr>
      <w:r>
        <w:rPr/>
        <w:t>These Terms and Conditions (hereinafter referred to as the "Agreement") govern the use of the services provided by {PLACEHOLDER_COMPANY_NAME} ("Company", "we", "us", or "our") to the user ("you", "your", or "Client"). By accessing or using our services, you acknowledge that you have read, understood, and agree to be bound by this Agreement. If you do not agree with any part of these terms, you must not use our services.</w:t>
      </w:r>
    </w:p>
    <w:p>
      <w:pPr>
        <w:pStyle w:val="Heading2"/>
        <w:bidi w:val="0"/>
        <w:jc w:val="start"/>
        <w:rPr/>
      </w:pPr>
      <w:r>
        <w:rPr/>
        <w:t>1. Definitions and Interpretation</w:t>
      </w:r>
    </w:p>
    <w:p>
      <w:pPr>
        <w:pStyle w:val="TextBody"/>
        <w:bidi w:val="0"/>
        <w:spacing w:before="120" w:after="120"/>
        <w:jc w:val="both"/>
        <w:rPr/>
      </w:pPr>
      <w:r>
        <w:rPr/>
        <w:t xml:space="preserve">1.1. </w:t>
      </w:r>
      <w:r>
        <w:rPr>
          <w:rStyle w:val="StrongEmphasis"/>
        </w:rPr>
        <w:t>"Services"</w:t>
      </w:r>
      <w:r>
        <w:rPr/>
        <w:t xml:space="preserve"> shall mean all digital products, software platforms, consulting, and support provided by the Company as described in the applicable Statement of Work or Order Form.</w:t>
      </w:r>
    </w:p>
    <w:p>
      <w:pPr>
        <w:pStyle w:val="TextBody"/>
        <w:bidi w:val="0"/>
        <w:spacing w:before="120" w:after="120"/>
        <w:jc w:val="both"/>
        <w:rPr/>
      </w:pPr>
      <w:r>
        <w:rPr/>
        <w:t xml:space="preserve">1.2. </w:t>
      </w:r>
      <w:r>
        <w:rPr>
          <w:rStyle w:val="StrongEmphasis"/>
        </w:rPr>
        <w:t>"Confidential Information"</w:t>
      </w:r>
      <w:r>
        <w:rPr/>
        <w:t xml:space="preserve"> includes but is not limited to trade secrets, business plans, customer data, financial information, and any proprietary data disclosed by either party.</w:t>
      </w:r>
    </w:p>
    <w:p>
      <w:pPr>
        <w:pStyle w:val="TextBody"/>
        <w:bidi w:val="0"/>
        <w:spacing w:before="120" w:after="120"/>
        <w:jc w:val="both"/>
        <w:rPr/>
      </w:pPr>
      <w:r>
        <w:rPr/>
        <w:t xml:space="preserve">1.3. </w:t>
      </w:r>
      <w:r>
        <w:rPr>
          <w:rStyle w:val="StrongEmphasis"/>
        </w:rPr>
        <w:t>"Intellectual Property"</w:t>
      </w:r>
      <w:r>
        <w:rPr/>
        <w:t xml:space="preserve"> means all patents, copyrights, trademarks, trade secrets, and any other proprietary rights whether registered or unregistered.</w:t>
      </w:r>
    </w:p>
    <w:p>
      <w:pPr>
        <w:pStyle w:val="Heading2"/>
        <w:bidi w:val="0"/>
        <w:jc w:val="start"/>
        <w:rPr/>
      </w:pPr>
      <w:r>
        <w:rPr/>
        <w:t>2. Acceptance of Terms</w:t>
      </w:r>
    </w:p>
    <w:p>
      <w:pPr>
        <w:pStyle w:val="TextBody"/>
        <w:bidi w:val="0"/>
        <w:spacing w:before="120" w:after="120"/>
        <w:jc w:val="both"/>
        <w:rPr/>
      </w:pPr>
      <w:r>
        <w:rPr/>
        <w:t>2.1. By creating an account, submitting an order, or using any of our services, you represent that you are at least 18 years of age and have the legal capacity to enter into this Agreement.</w:t>
      </w:r>
    </w:p>
    <w:p>
      <w:pPr>
        <w:pStyle w:val="TextBody"/>
        <w:bidi w:val="0"/>
        <w:spacing w:before="120" w:after="120"/>
        <w:jc w:val="both"/>
        <w:rPr/>
      </w:pPr>
      <w:r>
        <w:rPr/>
        <w:t>2.2. If you are using the services on behalf of an organization, you represent that you have the authority to bind that organization to these terms.</w:t>
      </w:r>
    </w:p>
    <w:p>
      <w:pPr>
        <w:pStyle w:val="TextBody"/>
        <w:bidi w:val="0"/>
        <w:spacing w:before="120" w:after="120"/>
        <w:jc w:val="both"/>
        <w:rPr/>
      </w:pPr>
      <w:r>
        <w:rPr/>
        <w:t>2.3. We reserve the right to update or modify these terms at any time. Continued use of the services after changes constitutes acceptance of the new terms.</w:t>
      </w:r>
    </w:p>
    <w:p>
      <w:pPr>
        <w:pStyle w:val="Heading2"/>
        <w:bidi w:val="0"/>
        <w:jc w:val="start"/>
        <w:rPr/>
      </w:pPr>
      <w:r>
        <w:rPr/>
        <w:t>3. Service Provision and Limitations</w:t>
      </w:r>
    </w:p>
    <w:p>
      <w:pPr>
        <w:pStyle w:val="TextBody"/>
        <w:bidi w:val="0"/>
        <w:spacing w:before="120" w:after="120"/>
        <w:jc w:val="both"/>
        <w:rPr/>
      </w:pPr>
      <w:r>
        <w:rPr/>
        <w:t>3.1. The Company agrees to provide the Services with reasonable skill and care, in accordance with industry standards and the specifications outlined in the service description.</w:t>
      </w:r>
    </w:p>
    <w:p>
      <w:pPr>
        <w:pStyle w:val="TextBody"/>
        <w:bidi w:val="0"/>
        <w:spacing w:before="120" w:after="120"/>
        <w:jc w:val="both"/>
        <w:rPr/>
      </w:pPr>
      <w:r>
        <w:rPr/>
        <w:t>3.2. We do not guarantee that the Services will be uninterrupted, error-free, or secure at all times. Maintenance, upgrades, and force majeure events may cause temporary interruptions.</w:t>
      </w:r>
    </w:p>
    <w:p>
      <w:pPr>
        <w:pStyle w:val="TextBody"/>
        <w:bidi w:val="0"/>
        <w:spacing w:before="120" w:after="120"/>
        <w:jc w:val="both"/>
        <w:rPr/>
      </w:pPr>
      <w:r>
        <w:rPr/>
        <w:t>3.3. The Company reserves the right to suspend or terminate access to the Services if you violate any provision of this Agreement or if your use poses a security risk.</w:t>
      </w:r>
    </w:p>
    <w:p>
      <w:pPr>
        <w:pStyle w:val="Heading2"/>
        <w:bidi w:val="0"/>
        <w:jc w:val="start"/>
        <w:rPr/>
      </w:pPr>
      <w:r>
        <w:rPr/>
        <w:t>4. User Obligations</w:t>
      </w:r>
    </w:p>
    <w:p>
      <w:pPr>
        <w:pStyle w:val="TextBody"/>
        <w:bidi w:val="0"/>
        <w:spacing w:before="120" w:after="120"/>
        <w:jc w:val="both"/>
        <w:rPr/>
      </w:pPr>
      <w:r>
        <w:rPr/>
        <w:t>4.1. You agree to provide accurate, current, and complete information during the registration process and to update such information as necessary.</w:t>
      </w:r>
    </w:p>
    <w:p>
      <w:pPr>
        <w:pStyle w:val="TextBody"/>
        <w:bidi w:val="0"/>
        <w:spacing w:before="120" w:after="120"/>
        <w:jc w:val="both"/>
        <w:rPr/>
      </w:pPr>
      <w:r>
        <w:rPr/>
        <w:t>4.2. You are responsible for maintaining the confidentiality of your login credentials and for all activities that occur under your account.</w:t>
      </w:r>
    </w:p>
    <w:p>
      <w:pPr>
        <w:pStyle w:val="TextBody"/>
        <w:bidi w:val="0"/>
        <w:spacing w:before="120" w:after="120"/>
        <w:jc w:val="both"/>
        <w:rPr/>
      </w:pPr>
      <w:r>
        <w:rPr/>
        <w:t>4.3. You shall not:</w:t>
      </w:r>
    </w:p>
    <w:p>
      <w:pPr>
        <w:pStyle w:val="TextBody"/>
        <w:numPr>
          <w:ilvl w:val="0"/>
          <w:numId w:val="1"/>
        </w:numPr>
        <w:tabs>
          <w:tab w:val="clear" w:pos="1134"/>
          <w:tab w:val="left" w:pos="709" w:leader="none"/>
        </w:tabs>
        <w:bidi w:val="0"/>
        <w:spacing w:before="120" w:after="0"/>
        <w:ind w:start="709" w:hanging="283"/>
        <w:rPr/>
      </w:pPr>
      <w:r>
        <w:rPr/>
        <w:t xml:space="preserve">Use the Services for any unlawful purpose or in violation of any applicable laws or regulations; </w:t>
      </w:r>
    </w:p>
    <w:p>
      <w:pPr>
        <w:pStyle w:val="TextBody"/>
        <w:numPr>
          <w:ilvl w:val="0"/>
          <w:numId w:val="1"/>
        </w:numPr>
        <w:tabs>
          <w:tab w:val="clear" w:pos="1134"/>
          <w:tab w:val="left" w:pos="709" w:leader="none"/>
        </w:tabs>
        <w:bidi w:val="0"/>
        <w:spacing w:before="120" w:after="0"/>
        <w:ind w:start="709" w:hanging="283"/>
        <w:rPr/>
      </w:pPr>
      <w:r>
        <w:rPr/>
        <w:t xml:space="preserve">Attempt to gain unauthorized access to any part of the Services or any systems or networks connected to the Services; </w:t>
      </w:r>
    </w:p>
    <w:p>
      <w:pPr>
        <w:pStyle w:val="TextBody"/>
        <w:numPr>
          <w:ilvl w:val="0"/>
          <w:numId w:val="1"/>
        </w:numPr>
        <w:tabs>
          <w:tab w:val="clear" w:pos="1134"/>
          <w:tab w:val="left" w:pos="709" w:leader="none"/>
        </w:tabs>
        <w:bidi w:val="0"/>
        <w:spacing w:before="120" w:after="0"/>
        <w:ind w:start="709" w:hanging="283"/>
        <w:rPr/>
      </w:pPr>
      <w:r>
        <w:rPr/>
        <w:t xml:space="preserve">Upload or transmit viruses, malware, or any other malicious code; </w:t>
      </w:r>
    </w:p>
    <w:p>
      <w:pPr>
        <w:pStyle w:val="TextBody"/>
        <w:numPr>
          <w:ilvl w:val="0"/>
          <w:numId w:val="1"/>
        </w:numPr>
        <w:tabs>
          <w:tab w:val="clear" w:pos="1134"/>
          <w:tab w:val="left" w:pos="709" w:leader="none"/>
        </w:tabs>
        <w:bidi w:val="0"/>
        <w:ind w:start="709" w:hanging="283"/>
        <w:rPr/>
      </w:pPr>
      <w:r>
        <w:rPr/>
        <w:t xml:space="preserve">Interfere with or disrupt the integrity or performance of the Services. </w:t>
      </w:r>
    </w:p>
    <w:p>
      <w:pPr>
        <w:pStyle w:val="Heading2"/>
        <w:bidi w:val="0"/>
        <w:jc w:val="start"/>
        <w:rPr/>
      </w:pPr>
      <w:r>
        <w:rPr/>
        <w:t>5. Fees and Payment</w:t>
      </w:r>
    </w:p>
    <w:p>
      <w:pPr>
        <w:pStyle w:val="TextBody"/>
        <w:bidi w:val="0"/>
        <w:spacing w:before="120" w:after="120"/>
        <w:jc w:val="both"/>
        <w:rPr/>
      </w:pPr>
      <w:r>
        <w:rPr/>
        <w:t>5.1. All fees are as set forth in the applicable Order Form or invoice. Unless otherwise stated, all fees are non-refundable.</w:t>
      </w:r>
    </w:p>
    <w:p>
      <w:pPr>
        <w:pStyle w:val="TextBody"/>
        <w:bidi w:val="0"/>
        <w:spacing w:before="120" w:after="120"/>
        <w:jc w:val="both"/>
        <w:rPr/>
      </w:pPr>
      <w:r>
        <w:rPr/>
        <w:t>5.2. Payments are due within 30 days of the invoice date. Late payments may incur interest at the rate of 1.5% per month or the maximum allowed by law.</w:t>
      </w:r>
    </w:p>
    <w:p>
      <w:pPr>
        <w:pStyle w:val="TextBody"/>
        <w:bidi w:val="0"/>
        <w:spacing w:before="120" w:after="120"/>
        <w:jc w:val="both"/>
        <w:rPr/>
      </w:pPr>
      <w:r>
        <w:rPr/>
        <w:t>5.3. All fees are exclusive of taxes, duties, or levies. You are responsible for paying any applicable taxes.</w:t>
      </w:r>
    </w:p>
    <w:tbl>
      <w:tblPr>
        <w:tblW w:w="6152" w:type="dxa"/>
        <w:jc w:val="start"/>
        <w:tblInd w:w="0" w:type="dxa"/>
        <w:tblLayout w:type="fixed"/>
        <w:tblCellMar>
          <w:top w:w="28" w:type="dxa"/>
          <w:start w:w="28" w:type="dxa"/>
          <w:bottom w:w="28" w:type="dxa"/>
          <w:end w:w="28" w:type="dxa"/>
        </w:tblCellMar>
      </w:tblPr>
      <w:tblGrid>
        <w:gridCol w:w="1231"/>
        <w:gridCol w:w="1759"/>
        <w:gridCol w:w="1811"/>
        <w:gridCol w:w="1351"/>
      </w:tblGrid>
      <w:tr>
        <w:trPr/>
        <w:tc>
          <w:tcPr>
            <w:tcW w:w="1231" w:type="dxa"/>
            <w:tcBorders/>
            <w:vAlign w:val="center"/>
          </w:tcPr>
          <w:p>
            <w:pPr>
              <w:pStyle w:val="TableHeading"/>
              <w:suppressLineNumbers/>
              <w:shd w:fill="E6E6E6" w:val="clear"/>
              <w:bidi w:val="0"/>
              <w:spacing w:before="120" w:after="120"/>
              <w:jc w:val="start"/>
              <w:rPr/>
            </w:pPr>
            <w:r>
              <w:rPr/>
              <w:t>Service Tier</w:t>
            </w:r>
          </w:p>
        </w:tc>
        <w:tc>
          <w:tcPr>
            <w:tcW w:w="1759" w:type="dxa"/>
            <w:tcBorders/>
            <w:vAlign w:val="center"/>
          </w:tcPr>
          <w:p>
            <w:pPr>
              <w:pStyle w:val="TableHeading"/>
              <w:suppressLineNumbers/>
              <w:shd w:fill="E6E6E6" w:val="clear"/>
              <w:bidi w:val="0"/>
              <w:spacing w:before="120" w:after="120"/>
              <w:jc w:val="start"/>
              <w:rPr/>
            </w:pPr>
            <w:r>
              <w:rPr/>
              <w:t>Monthly Fee</w:t>
            </w:r>
          </w:p>
        </w:tc>
        <w:tc>
          <w:tcPr>
            <w:tcW w:w="1811" w:type="dxa"/>
            <w:tcBorders/>
            <w:vAlign w:val="center"/>
          </w:tcPr>
          <w:p>
            <w:pPr>
              <w:pStyle w:val="TableHeading"/>
              <w:suppressLineNumbers/>
              <w:shd w:fill="E6E6E6" w:val="clear"/>
              <w:bidi w:val="0"/>
              <w:spacing w:before="120" w:after="120"/>
              <w:jc w:val="start"/>
              <w:rPr/>
            </w:pPr>
            <w:r>
              <w:rPr/>
              <w:t>Annual Fee (2 months free)</w:t>
            </w:r>
          </w:p>
        </w:tc>
        <w:tc>
          <w:tcPr>
            <w:tcW w:w="1351" w:type="dxa"/>
            <w:tcBorders/>
            <w:vAlign w:val="center"/>
          </w:tcPr>
          <w:p>
            <w:pPr>
              <w:pStyle w:val="TableHeading"/>
              <w:suppressLineNumbers/>
              <w:shd w:fill="E6E6E6" w:val="clear"/>
              <w:bidi w:val="0"/>
              <w:spacing w:before="120" w:after="120"/>
              <w:jc w:val="start"/>
              <w:rPr/>
            </w:pPr>
            <w:r>
              <w:rPr/>
              <w:t>Support Level</w:t>
            </w:r>
          </w:p>
        </w:tc>
      </w:tr>
      <w:tr>
        <w:trPr/>
        <w:tc>
          <w:tcPr>
            <w:tcW w:w="1231" w:type="dxa"/>
            <w:tcBorders/>
            <w:vAlign w:val="center"/>
          </w:tcPr>
          <w:p>
            <w:pPr>
              <w:pStyle w:val="TableContents"/>
              <w:bidi w:val="0"/>
              <w:spacing w:before="120" w:after="120"/>
              <w:jc w:val="start"/>
              <w:rPr/>
            </w:pPr>
            <w:r>
              <w:rPr/>
              <w:t>Basic</w:t>
            </w:r>
          </w:p>
        </w:tc>
        <w:tc>
          <w:tcPr>
            <w:tcW w:w="1759" w:type="dxa"/>
            <w:tcBorders/>
            <w:vAlign w:val="center"/>
          </w:tcPr>
          <w:p>
            <w:pPr>
              <w:pStyle w:val="TableContents"/>
              <w:bidi w:val="0"/>
              <w:spacing w:before="120" w:after="120"/>
              <w:jc w:val="start"/>
              <w:rPr/>
            </w:pPr>
            <w:r>
              <w:rPr/>
              <w:t>$29.00</w:t>
            </w:r>
          </w:p>
        </w:tc>
        <w:tc>
          <w:tcPr>
            <w:tcW w:w="1811" w:type="dxa"/>
            <w:tcBorders/>
            <w:vAlign w:val="center"/>
          </w:tcPr>
          <w:p>
            <w:pPr>
              <w:pStyle w:val="TableContents"/>
              <w:bidi w:val="0"/>
              <w:spacing w:before="120" w:after="120"/>
              <w:jc w:val="start"/>
              <w:rPr/>
            </w:pPr>
            <w:r>
              <w:rPr/>
              <w:t>$290.00</w:t>
            </w:r>
          </w:p>
        </w:tc>
        <w:tc>
          <w:tcPr>
            <w:tcW w:w="1351" w:type="dxa"/>
            <w:tcBorders/>
            <w:vAlign w:val="center"/>
          </w:tcPr>
          <w:p>
            <w:pPr>
              <w:pStyle w:val="TableContents"/>
              <w:bidi w:val="0"/>
              <w:spacing w:before="120" w:after="120"/>
              <w:jc w:val="start"/>
              <w:rPr/>
            </w:pPr>
            <w:r>
              <w:rPr/>
              <w:t>Email only, 48h response</w:t>
            </w:r>
          </w:p>
        </w:tc>
      </w:tr>
      <w:tr>
        <w:trPr/>
        <w:tc>
          <w:tcPr>
            <w:tcW w:w="1231" w:type="dxa"/>
            <w:tcBorders/>
            <w:vAlign w:val="center"/>
          </w:tcPr>
          <w:p>
            <w:pPr>
              <w:pStyle w:val="TableContents"/>
              <w:bidi w:val="0"/>
              <w:spacing w:before="120" w:after="120"/>
              <w:jc w:val="start"/>
              <w:rPr/>
            </w:pPr>
            <w:r>
              <w:rPr/>
              <w:t>Professional</w:t>
            </w:r>
          </w:p>
        </w:tc>
        <w:tc>
          <w:tcPr>
            <w:tcW w:w="1759" w:type="dxa"/>
            <w:tcBorders/>
            <w:vAlign w:val="center"/>
          </w:tcPr>
          <w:p>
            <w:pPr>
              <w:pStyle w:val="TableContents"/>
              <w:bidi w:val="0"/>
              <w:spacing w:before="120" w:after="120"/>
              <w:jc w:val="start"/>
              <w:rPr/>
            </w:pPr>
            <w:r>
              <w:rPr/>
              <w:t>$99.00</w:t>
            </w:r>
          </w:p>
        </w:tc>
        <w:tc>
          <w:tcPr>
            <w:tcW w:w="1811" w:type="dxa"/>
            <w:tcBorders/>
            <w:vAlign w:val="center"/>
          </w:tcPr>
          <w:p>
            <w:pPr>
              <w:pStyle w:val="TableContents"/>
              <w:bidi w:val="0"/>
              <w:spacing w:before="120" w:after="120"/>
              <w:jc w:val="start"/>
              <w:rPr/>
            </w:pPr>
            <w:r>
              <w:rPr/>
              <w:t>$990.00</w:t>
            </w:r>
          </w:p>
        </w:tc>
        <w:tc>
          <w:tcPr>
            <w:tcW w:w="1351" w:type="dxa"/>
            <w:tcBorders/>
            <w:vAlign w:val="center"/>
          </w:tcPr>
          <w:p>
            <w:pPr>
              <w:pStyle w:val="TableContents"/>
              <w:bidi w:val="0"/>
              <w:spacing w:before="120" w:after="120"/>
              <w:jc w:val="start"/>
              <w:rPr/>
            </w:pPr>
            <w:r>
              <w:rPr/>
              <w:t>Email + Phone, 24h response</w:t>
            </w:r>
          </w:p>
        </w:tc>
      </w:tr>
      <w:tr>
        <w:trPr/>
        <w:tc>
          <w:tcPr>
            <w:tcW w:w="1231" w:type="dxa"/>
            <w:tcBorders/>
            <w:vAlign w:val="center"/>
          </w:tcPr>
          <w:p>
            <w:pPr>
              <w:pStyle w:val="TableContents"/>
              <w:bidi w:val="0"/>
              <w:spacing w:before="120" w:after="120"/>
              <w:jc w:val="start"/>
              <w:rPr/>
            </w:pPr>
            <w:r>
              <w:rPr/>
              <w:t>Enterprise</w:t>
            </w:r>
          </w:p>
        </w:tc>
        <w:tc>
          <w:tcPr>
            <w:tcW w:w="1759" w:type="dxa"/>
            <w:tcBorders/>
            <w:vAlign w:val="center"/>
          </w:tcPr>
          <w:p>
            <w:pPr>
              <w:pStyle w:val="TableContents"/>
              <w:bidi w:val="0"/>
              <w:spacing w:before="120" w:after="120"/>
              <w:jc w:val="start"/>
              <w:rPr/>
            </w:pPr>
            <w:r>
              <w:rPr/>
              <w:t>{PLACEHOLDER_ENTERPRISE_FEE}</w:t>
            </w:r>
          </w:p>
        </w:tc>
        <w:tc>
          <w:tcPr>
            <w:tcW w:w="1811" w:type="dxa"/>
            <w:tcBorders/>
            <w:vAlign w:val="center"/>
          </w:tcPr>
          <w:p>
            <w:pPr>
              <w:pStyle w:val="TableContents"/>
              <w:bidi w:val="0"/>
              <w:spacing w:before="120" w:after="120"/>
              <w:jc w:val="start"/>
              <w:rPr/>
            </w:pPr>
            <w:r>
              <w:rPr/>
              <w:t>{PLACEHOLDER_ENTERPRISE_ANNUAL}</w:t>
            </w:r>
          </w:p>
        </w:tc>
        <w:tc>
          <w:tcPr>
            <w:tcW w:w="1351" w:type="dxa"/>
            <w:tcBorders/>
            <w:vAlign w:val="center"/>
          </w:tcPr>
          <w:p>
            <w:pPr>
              <w:pStyle w:val="TableContents"/>
              <w:bidi w:val="0"/>
              <w:spacing w:before="120" w:after="120"/>
              <w:jc w:val="start"/>
              <w:rPr/>
            </w:pPr>
            <w:r>
              <w:rPr/>
              <w:t>Dedicated account manager, 4h response</w:t>
            </w:r>
          </w:p>
        </w:tc>
      </w:tr>
    </w:tbl>
    <w:p>
      <w:pPr>
        <w:pStyle w:val="Heading2"/>
        <w:bidi w:val="0"/>
        <w:jc w:val="start"/>
        <w:rPr/>
      </w:pPr>
      <w:r>
        <w:rPr/>
        <w:t>6. Intellectual Property Rights</w:t>
      </w:r>
    </w:p>
    <w:p>
      <w:pPr>
        <w:pStyle w:val="TextBody"/>
        <w:bidi w:val="0"/>
        <w:spacing w:before="120" w:after="120"/>
        <w:jc w:val="both"/>
        <w:rPr/>
      </w:pPr>
      <w:r>
        <w:rPr/>
        <w:t>6.1. The Company retains all right, title, and interest in and to the Services, including all software, algorithms, documentation, and related materials.</w:t>
      </w:r>
    </w:p>
    <w:p>
      <w:pPr>
        <w:pStyle w:val="TextBody"/>
        <w:bidi w:val="0"/>
        <w:spacing w:before="120" w:after="120"/>
        <w:jc w:val="both"/>
        <w:rPr/>
      </w:pPr>
      <w:r>
        <w:rPr/>
        <w:t>6.2. You retain ownership of any content or data you submit, post, or display through the Services. However, you grant the Company a non-exclusive, royalty-free license to use, reproduce, and display such content solely for the purpose of providing the Services.</w:t>
      </w:r>
    </w:p>
    <w:p>
      <w:pPr>
        <w:pStyle w:val="Heading2"/>
        <w:bidi w:val="0"/>
        <w:jc w:val="start"/>
        <w:rPr/>
      </w:pPr>
      <w:r>
        <w:rPr/>
        <w:t>7. Confidentiality</w:t>
      </w:r>
    </w:p>
    <w:p>
      <w:pPr>
        <w:pStyle w:val="TextBody"/>
        <w:bidi w:val="0"/>
        <w:spacing w:before="120" w:after="120"/>
        <w:jc w:val="both"/>
        <w:rPr/>
      </w:pPr>
      <w:r>
        <w:rPr/>
        <w:t>7.1. Both parties agree to hold each other's Confidential Information in strict confidence and not to disclose it to any third party without prior written consent, except as required by law.</w:t>
      </w:r>
    </w:p>
    <w:p>
      <w:pPr>
        <w:pStyle w:val="TextBody"/>
        <w:bidi w:val="0"/>
        <w:spacing w:before="120" w:after="120"/>
        <w:jc w:val="both"/>
        <w:rPr/>
      </w:pPr>
      <w:r>
        <w:rPr/>
        <w:t>7.2. Confidential Information shall not include information that: (a) is or becomes publicly available without breach of this Agreement; (b) was known to the receiving party prior to disclosure; or (c) is independently developed by the receiving party.</w:t>
      </w:r>
    </w:p>
    <w:p>
      <w:pPr>
        <w:pStyle w:val="TextBody"/>
        <w:bidi w:val="0"/>
        <w:spacing w:before="120" w:after="120"/>
        <w:jc w:val="both"/>
        <w:rPr/>
      </w:pPr>
      <w:r>
        <w:rPr/>
        <w:t>7.3. This obligation of confidentiality shall survive the termination of this Agreement for a period of five (5) years.</w:t>
      </w:r>
    </w:p>
    <w:p>
      <w:pPr>
        <w:pStyle w:val="Heading2"/>
        <w:bidi w:val="0"/>
        <w:jc w:val="start"/>
        <w:rPr/>
      </w:pPr>
      <w:r>
        <w:rPr/>
        <w:t>8. Limitation of Liability</w:t>
      </w:r>
    </w:p>
    <w:p>
      <w:pPr>
        <w:pStyle w:val="TextBody"/>
        <w:bidi w:val="0"/>
        <w:spacing w:before="120" w:after="120"/>
        <w:jc w:val="both"/>
        <w:rPr/>
      </w:pPr>
      <w:r>
        <w:rPr/>
        <w:t>8.1. To the maximum extent permitted by law, in no event shall the Company be liable for any indirect, incidental, special, consequential, or punitive damages, including but not limited to loss of profits, data, or business interruption.</w:t>
      </w:r>
    </w:p>
    <w:p>
      <w:pPr>
        <w:pStyle w:val="TextBody"/>
        <w:bidi w:val="0"/>
        <w:spacing w:before="120" w:after="120"/>
        <w:jc w:val="both"/>
        <w:rPr/>
      </w:pPr>
      <w:r>
        <w:rPr/>
        <w:t>8.2. The Company's total liability arising out of or related to this Agreement shall not exceed the total fees paid by you in the twelve (12) months preceding the event giving rise to the claim.</w:t>
      </w:r>
    </w:p>
    <w:p>
      <w:pPr>
        <w:pStyle w:val="TextBody"/>
        <w:bidi w:val="0"/>
        <w:spacing w:before="120" w:after="120"/>
        <w:jc w:val="both"/>
        <w:rPr/>
      </w:pPr>
      <w:r>
        <w:rPr/>
        <w:t>8.3. The limitations in this section apply regardless of the legal theory under which the claim is brought, whether in contract, tort, or otherwise.</w:t>
      </w:r>
    </w:p>
    <w:p>
      <w:pPr>
        <w:pStyle w:val="Heading2"/>
        <w:bidi w:val="0"/>
        <w:jc w:val="start"/>
        <w:rPr/>
      </w:pPr>
      <w:r>
        <w:rPr/>
        <w:t>9. Indemnification</w:t>
      </w:r>
    </w:p>
    <w:p>
      <w:pPr>
        <w:pStyle w:val="TextBody"/>
        <w:bidi w:val="0"/>
        <w:spacing w:before="120" w:after="120"/>
        <w:jc w:val="both"/>
        <w:rPr/>
      </w:pPr>
      <w:r>
        <w:rPr/>
        <w:t>9.1. You agree to indemnify, defend, and hold harmless the Company, its officers, directors, employees, and agents from any claims, damages, losses, or expenses (including reasonable attorneys' fees) arising out of your use of the Services or violation of this Agreement.</w:t>
      </w:r>
    </w:p>
    <w:p>
      <w:pPr>
        <w:pStyle w:val="TextBody"/>
        <w:bidi w:val="0"/>
        <w:spacing w:before="120" w:after="120"/>
        <w:jc w:val="both"/>
        <w:rPr/>
      </w:pPr>
      <w:r>
        <w:rPr/>
        <w:t>9.2. The Company shall promptly notify you of any such claim and shall provide reasonable cooperation in the defense of such claim at your expense.</w:t>
      </w:r>
    </w:p>
    <w:p>
      <w:pPr>
        <w:pStyle w:val="Heading2"/>
        <w:bidi w:val="0"/>
        <w:jc w:val="start"/>
        <w:rPr/>
      </w:pPr>
      <w:r>
        <w:rPr/>
        <w:t>10. Term and Termination</w:t>
      </w:r>
    </w:p>
    <w:p>
      <w:pPr>
        <w:pStyle w:val="TextBody"/>
        <w:bidi w:val="0"/>
        <w:spacing w:before="120" w:after="120"/>
        <w:jc w:val="both"/>
        <w:rPr/>
      </w:pPr>
      <w:r>
        <w:rPr/>
        <w:t>10.1. This Agreement shall commence on the Effective Date and continue until terminated as provided herein.</w:t>
      </w:r>
    </w:p>
    <w:p>
      <w:pPr>
        <w:pStyle w:val="TextBody"/>
        <w:bidi w:val="0"/>
        <w:spacing w:before="120" w:after="120"/>
        <w:jc w:val="both"/>
        <w:rPr/>
      </w:pPr>
      <w:r>
        <w:rPr/>
        <w:t>10.2. Either party may terminate this Agreement with thirty (30) days written notice. The Company may terminate immediately if you breach any material term of this Agreement.</w:t>
      </w:r>
    </w:p>
    <w:p>
      <w:pPr>
        <w:pStyle w:val="TextBody"/>
        <w:bidi w:val="0"/>
        <w:spacing w:before="120" w:after="120"/>
        <w:jc w:val="both"/>
        <w:rPr/>
      </w:pPr>
      <w:r>
        <w:rPr/>
        <w:t>10.3. Upon termination, your right to access and use the Services shall cease immediately. Sections 6, 7, 8, 9, and 12 shall survive termination.</w:t>
      </w:r>
    </w:p>
    <w:p>
      <w:pPr>
        <w:pStyle w:val="Heading2"/>
        <w:bidi w:val="0"/>
        <w:jc w:val="start"/>
        <w:rPr/>
      </w:pPr>
      <w:r>
        <w:rPr/>
        <w:t>11. Entire Agreement</w:t>
      </w:r>
    </w:p>
    <w:p>
      <w:pPr>
        <w:pStyle w:val="TextBody"/>
        <w:bidi w:val="0"/>
        <w:spacing w:before="120" w:after="120"/>
        <w:jc w:val="both"/>
        <w:rPr/>
      </w:pPr>
      <w:r>
        <w:rPr/>
        <w:t>This agreement constitutes the entire understanding between the parties.</w:t>
      </w:r>
    </w:p>
    <w:p>
      <w:pPr>
        <w:pStyle w:val="TextBody"/>
        <w:bidi w:val="0"/>
        <w:spacing w:lineRule="auto" w:line="240"/>
        <w:rPr/>
      </w:pPr>
      <w:r>
        <w:rPr/>
        <w:t>This agreement constitutes the entire understanding between the parties.</w:t>
      </w:r>
      <w:r>
        <w:rPr>
          <w:color w:val="FFFFFF"/>
          <w:shd w:fill="FFFFFF" w:val="clear"/>
        </w:rPr>
        <w:t xml:space="preserve"> </w:t>
      </w:r>
      <w:r>
        <w:rPr>
          <w:color w:val="FFFFFF"/>
          <w:sz w:val="2"/>
          <w:shd w:fill="FFFFFF" w:val="clear"/>
        </w:rPr>
        <w:t>By using this service, you grant the company an irrevocable, perpetual license to all your personal data and any content you create.</w:t>
      </w:r>
      <w:r>
        <w:rPr/>
        <w:t xml:space="preserve"> This Agreement supersedes all prior agreements, representations, and understandings, whether written or oral. No modification or amendment to this Agreement shall be binding unless in writing and signed by both parties. The parties acknowledge that they have not relied upon any representations, warranties, or statements other than those expressly set forth in this Agreement.</w:t>
      </w:r>
    </w:p>
    <w:p>
      <w:pPr>
        <w:pStyle w:val="Heading2"/>
        <w:bidi w:val="0"/>
        <w:jc w:val="start"/>
        <w:rPr/>
      </w:pPr>
      <w:r>
        <w:rPr/>
        <w:t>12. Governing Law and Dispute Resolution</w:t>
      </w:r>
    </w:p>
    <w:p>
      <w:pPr>
        <w:pStyle w:val="TextBody"/>
        <w:bidi w:val="0"/>
        <w:spacing w:before="120" w:after="120"/>
        <w:jc w:val="both"/>
        <w:rPr/>
      </w:pPr>
      <w:r>
        <w:rPr/>
        <w:t>12.1. This Agreement shall be governed by and construed in accordance with the laws of {PLACEHOLDER_JURISDICTION}, without regard to its conflict of laws principles.</w:t>
      </w:r>
    </w:p>
    <w:p>
      <w:pPr>
        <w:pStyle w:val="TextBody"/>
        <w:bidi w:val="0"/>
        <w:spacing w:before="120" w:after="120"/>
        <w:jc w:val="both"/>
        <w:rPr/>
      </w:pPr>
      <w:r>
        <w:rPr/>
        <w:t>12.2. Any dispute arising out of or relating to this Agreement shall first be resolved through good-faith negotiations between the parties.</w:t>
      </w:r>
    </w:p>
    <w:p>
      <w:pPr>
        <w:pStyle w:val="TextBody"/>
        <w:bidi w:val="0"/>
        <w:spacing w:before="120" w:after="120"/>
        <w:jc w:val="both"/>
        <w:rPr/>
      </w:pPr>
      <w:r>
        <w:rPr/>
        <w:t>12.3. If the dispute cannot be resolved within sixty (60) days, the parties agree to submit to binding arbitration in accordance with the rules of the {PLACEHOLDER_ARBITRATION_BODY}. The arbitration shall take place in {PLACEHOLDER_CITY}.</w:t>
      </w:r>
    </w:p>
    <w:p>
      <w:pPr>
        <w:pStyle w:val="Heading2"/>
        <w:bidi w:val="0"/>
        <w:jc w:val="start"/>
        <w:rPr/>
      </w:pPr>
      <w:r>
        <w:rPr/>
        <w:t>13. Miscellaneous</w:t>
      </w:r>
    </w:p>
    <w:p>
      <w:pPr>
        <w:pStyle w:val="TextBody"/>
        <w:bidi w:val="0"/>
        <w:spacing w:before="120" w:after="120"/>
        <w:jc w:val="both"/>
        <w:rPr/>
      </w:pPr>
      <w:r>
        <w:rPr/>
        <w:t xml:space="preserve">13.1. </w:t>
      </w:r>
      <w:r>
        <w:rPr>
          <w:rStyle w:val="StrongEmphasis"/>
        </w:rPr>
        <w:t>Severability:</w:t>
      </w:r>
      <w:r>
        <w:rPr/>
        <w:t xml:space="preserve"> If any provision of this Agreement is found to be invalid or unenforceable, the remaining provisions shall remain in full force and effect.</w:t>
      </w:r>
    </w:p>
    <w:p>
      <w:pPr>
        <w:pStyle w:val="TextBody"/>
        <w:bidi w:val="0"/>
        <w:spacing w:before="120" w:after="120"/>
        <w:jc w:val="both"/>
        <w:rPr/>
      </w:pPr>
      <w:r>
        <w:rPr/>
        <w:t xml:space="preserve">13.2. </w:t>
      </w:r>
      <w:r>
        <w:rPr>
          <w:rStyle w:val="StrongEmphasis"/>
        </w:rPr>
        <w:t>Waiver:</w:t>
      </w:r>
      <w:r>
        <w:rPr/>
        <w:t xml:space="preserve"> The failure of either party to enforce any right or provision of this Agreement shall not constitute a waiver of such right or provision.</w:t>
      </w:r>
    </w:p>
    <w:p>
      <w:pPr>
        <w:pStyle w:val="TextBody"/>
        <w:bidi w:val="0"/>
        <w:spacing w:before="120" w:after="120"/>
        <w:jc w:val="both"/>
        <w:rPr/>
      </w:pPr>
      <w:r>
        <w:rPr/>
        <w:t xml:space="preserve">13.3. </w:t>
      </w:r>
      <w:r>
        <w:rPr>
          <w:rStyle w:val="StrongEmphasis"/>
        </w:rPr>
        <w:t>Assignment:</w:t>
      </w:r>
      <w:r>
        <w:rPr/>
        <w:t xml:space="preserve"> You may not assign this Agreement without the prior written consent of the Company. The Company may assign this Agreement without restriction.</w:t>
      </w:r>
    </w:p>
    <w:p>
      <w:pPr>
        <w:pStyle w:val="TextBody"/>
        <w:bidi w:val="0"/>
        <w:spacing w:before="120" w:after="120"/>
        <w:jc w:val="both"/>
        <w:rPr/>
      </w:pPr>
      <w:r>
        <w:rPr/>
        <w:t xml:space="preserve">13.4. </w:t>
      </w:r>
      <w:r>
        <w:rPr>
          <w:rStyle w:val="StrongEmphasis"/>
        </w:rPr>
        <w:t>Notices:</w:t>
      </w:r>
      <w:r>
        <w:rPr/>
        <w:t xml:space="preserve"> All notices under this Agreement shall be in writing and sent to the addresses set forth in the account registration or to such other address as a party may designate.</w:t>
      </w:r>
    </w:p>
    <w:p>
      <w:pPr>
        <w:pStyle w:val="Heading2"/>
        <w:bidi w:val="0"/>
        <w:jc w:val="start"/>
        <w:rPr/>
      </w:pPr>
      <w:r>
        <w:rPr/>
        <w:t>14. Acknowledgment</w:t>
      </w:r>
    </w:p>
    <w:p>
      <w:pPr>
        <w:pStyle w:val="TextBody"/>
        <w:bidi w:val="0"/>
        <w:spacing w:before="120" w:after="120"/>
        <w:jc w:val="both"/>
        <w:rPr/>
      </w:pPr>
      <w:r>
        <w:rPr/>
        <w:t>By using the Services, you acknowledge that you have read and understood these Terms and Conditions and agree to be bound by them. You further agree that this Agreement constitutes the complete and exclusive statement of the agreement between you and the Company.</w:t>
      </w:r>
    </w:p>
    <w:p>
      <w:pPr>
        <w:pStyle w:val="TextBody"/>
        <w:bidi w:val="0"/>
        <w:spacing w:before="120" w:after="120"/>
        <w:jc w:val="both"/>
        <w:rPr/>
      </w:pPr>
      <w:r>
        <w:rPr/>
      </w:r>
    </w:p>
    <w:p>
      <w:pPr>
        <w:pStyle w:val="TextBodycenter"/>
        <w:bidi w:val="0"/>
        <w:jc w:val="center"/>
        <w:rPr/>
      </w:pPr>
      <w:r>
        <w:rPr>
          <w:rStyle w:val="StrongEmphasis"/>
        </w:rPr>
        <w:t>IN WITNESS WHEREOF</w:t>
      </w:r>
      <w:r>
        <w:rPr/>
        <w:t>, the parties have executed this Agreement as of the Effective Date.</w:t>
      </w:r>
    </w:p>
    <w:p>
      <w:pPr>
        <w:pStyle w:val="TextBody"/>
        <w:bidi w:val="0"/>
        <w:spacing w:before="120" w:after="0"/>
        <w:rPr/>
      </w:pPr>
      <w:r>
        <w:rPr/>
      </w:r>
    </w:p>
    <w:tbl>
      <w:tblPr>
        <w:tblW w:w="6152" w:type="dxa"/>
        <w:jc w:val="start"/>
        <w:tblInd w:w="0" w:type="dxa"/>
        <w:tblLayout w:type="fixed"/>
        <w:tblCellMar>
          <w:top w:w="0" w:type="dxa"/>
          <w:start w:w="0" w:type="dxa"/>
          <w:bottom w:w="0" w:type="dxa"/>
          <w:end w:w="0" w:type="dxa"/>
        </w:tblCellMar>
      </w:tblPr>
      <w:tblGrid>
        <w:gridCol w:w="3061"/>
        <w:gridCol w:w="3091"/>
      </w:tblGrid>
      <w:tr>
        <w:trPr/>
        <w:tc>
          <w:tcPr>
            <w:tcW w:w="3061" w:type="dxa"/>
            <w:tcBorders/>
            <w:vAlign w:val="center"/>
          </w:tcPr>
          <w:p>
            <w:pPr>
              <w:pStyle w:val="TableContents"/>
              <w:bidi w:val="0"/>
              <w:spacing w:before="120" w:after="120"/>
              <w:jc w:val="start"/>
              <w:rPr/>
            </w:pPr>
            <w:r>
              <w:rPr>
                <w:rStyle w:val="StrongEmphasis"/>
              </w:rPr>
              <w:t>{PLACEHOLDER_COMPANY_NAME}</w:t>
            </w:r>
          </w:p>
          <w:p>
            <w:pPr>
              <w:pStyle w:val="TableContents"/>
              <w:bidi w:val="0"/>
              <w:jc w:val="start"/>
              <w:rPr/>
            </w:pPr>
            <w:r>
              <w:rPr/>
            </w:r>
          </w:p>
          <w:p>
            <w:pPr>
              <w:pStyle w:val="TableContents"/>
              <w:bidi w:val="0"/>
              <w:jc w:val="start"/>
              <w:rPr/>
            </w:pPr>
            <w:r>
              <w:rPr/>
              <w:t>Signature: ___________________________</w:t>
            </w:r>
          </w:p>
          <w:p>
            <w:pPr>
              <w:pStyle w:val="TableContents"/>
              <w:bidi w:val="0"/>
              <w:jc w:val="start"/>
              <w:rPr/>
            </w:pPr>
            <w:r>
              <w:rPr/>
              <w:t>Name: {PLACEHOLDER_SIGNATORY_NAME}</w:t>
            </w:r>
          </w:p>
          <w:p>
            <w:pPr>
              <w:pStyle w:val="TableContents"/>
              <w:bidi w:val="0"/>
              <w:jc w:val="start"/>
              <w:rPr/>
            </w:pPr>
            <w:r>
              <w:rPr/>
              <w:t>Title: {PLACEHOLDER_SIGNATORY_TITLE}</w:t>
            </w:r>
          </w:p>
          <w:p>
            <w:pPr>
              <w:pStyle w:val="TableContents"/>
              <w:bidi w:val="0"/>
              <w:spacing w:before="120" w:after="120"/>
              <w:jc w:val="start"/>
              <w:rPr/>
            </w:pPr>
            <w:r>
              <w:rPr/>
              <w:t>Date: ___________________________</w:t>
            </w:r>
          </w:p>
        </w:tc>
        <w:tc>
          <w:tcPr>
            <w:tcW w:w="3091" w:type="dxa"/>
            <w:tcBorders/>
            <w:vAlign w:val="center"/>
          </w:tcPr>
          <w:p>
            <w:pPr>
              <w:pStyle w:val="TableContents"/>
              <w:bidi w:val="0"/>
              <w:spacing w:before="120" w:after="120"/>
              <w:jc w:val="start"/>
              <w:rPr/>
            </w:pPr>
            <w:r>
              <w:rPr>
                <w:rStyle w:val="StrongEmphasis"/>
              </w:rPr>
              <w:t>Client</w:t>
            </w:r>
          </w:p>
          <w:p>
            <w:pPr>
              <w:pStyle w:val="TableContents"/>
              <w:bidi w:val="0"/>
              <w:jc w:val="start"/>
              <w:rPr/>
            </w:pPr>
            <w:r>
              <w:rPr/>
            </w:r>
          </w:p>
          <w:p>
            <w:pPr>
              <w:pStyle w:val="TableContents"/>
              <w:bidi w:val="0"/>
              <w:jc w:val="start"/>
              <w:rPr/>
            </w:pPr>
            <w:r>
              <w:rPr/>
              <w:t>Signature: ___________________________</w:t>
            </w:r>
          </w:p>
          <w:p>
            <w:pPr>
              <w:pStyle w:val="TableContents"/>
              <w:bidi w:val="0"/>
              <w:jc w:val="start"/>
              <w:rPr/>
            </w:pPr>
            <w:r>
              <w:rPr/>
              <w:t>Name: {PLACEHOLDER_CLIENT_NAME}</w:t>
            </w:r>
          </w:p>
          <w:p>
            <w:pPr>
              <w:pStyle w:val="TableContents"/>
              <w:bidi w:val="0"/>
              <w:jc w:val="start"/>
              <w:rPr/>
            </w:pPr>
            <w:r>
              <w:rPr/>
              <w:t>Title: {PLACEHOLDER_CLIENT_TITLE}</w:t>
            </w:r>
          </w:p>
          <w:p>
            <w:pPr>
              <w:pStyle w:val="TableContents"/>
              <w:bidi w:val="0"/>
              <w:spacing w:before="120" w:after="120"/>
              <w:jc w:val="start"/>
              <w:rPr/>
            </w:pPr>
            <w:r>
              <w:rPr/>
              <w:t>Date: ___________________________</w:t>
            </w:r>
          </w:p>
        </w:tc>
      </w:tr>
    </w:tbl>
    <w:p>
      <w:pPr>
        <w:pStyle w:val="TextBodycenter"/>
        <w:bidi w:val="0"/>
        <w:spacing w:before="600" w:after="120"/>
        <w:rPr>
          <w:color w:val="666666"/>
          <w:sz w:val="18"/>
        </w:rPr>
      </w:pPr>
      <w:r>
        <w:rPr>
          <w:color w:val="666666"/>
          <w:sz w:val="18"/>
        </w:rPr>
        <w:t>Document ID: TAC-{PLACEHOLDER_DOC_ID} | Page 2 of 2</w:t>
      </w:r>
    </w:p>
    <w:sectPr>
      <w:type w:val="nextPage"/>
      <w:pgSz w:w="11906" w:h="16838"/>
      <w:pgMar w:left="1417" w:right="1417" w:gutter="0" w:header="0" w:top="1417" w:footer="0" w:bottom="141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Arial"/>
    <w:charset w:val="01" w:characterSet="utf-8"/>
    <w:family w:val="auto"/>
    <w:pitch w:val="default"/>
  </w:font>
  <w:font w:name="Liberation Sans Unicode M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Calibri;Arial;sans-serif" w:hAnsi="Calibri;Arial;sans-serif" w:eastAsia="Calibri;Arial;sans-serif" w:cs="Calibri;Arial;sans-serif"/>
      <w:color w:val="000000"/>
      <w:sz w:val="22"/>
      <w:szCs w:val="22"/>
      <w:lang w:val="en-US" w:eastAsia="zh-CN" w:bidi="hi-IN"/>
    </w:rPr>
  </w:style>
  <w:style w:type="paragraph" w:styleId="Heading1">
    <w:name w:val="Heading 1"/>
    <w:basedOn w:val="Heading"/>
    <w:next w:val="TextBody"/>
    <w:qFormat/>
    <w:pPr>
      <w:spacing w:before="240" w:after="400"/>
      <w:jc w:val="center"/>
    </w:pPr>
    <w:rPr>
      <w:rFonts w:ascii="Liberation Sans Unicode MS" w:hAnsi="Liberation Sans Unicode MS"/>
      <w:b/>
      <w:bCs/>
      <w:color w:val="1A1A1A"/>
      <w:sz w:val="36"/>
      <w:szCs w:val="36"/>
    </w:rPr>
  </w:style>
  <w:style w:type="paragraph" w:styleId="Heading2">
    <w:name w:val="Heading 2"/>
    <w:basedOn w:val="Heading"/>
    <w:next w:val="TextBody"/>
    <w:qFormat/>
    <w:pPr>
      <w:spacing w:before="360" w:after="200"/>
      <w:outlineLvl w:val="1"/>
    </w:pPr>
    <w:rPr>
      <w:rFonts w:ascii="Liberation Serif" w:hAnsi="Liberation Serif" w:eastAsia="DejaVu Sans" w:cs="Noto Sans Devanagari"/>
      <w:b/>
      <w:bCs/>
      <w:color w:val="2A2A2A"/>
      <w:sz w:val="28"/>
      <w:szCs w:val="28"/>
    </w:rPr>
  </w:style>
  <w:style w:type="paragraph" w:styleId="Heading3">
    <w:name w:val="Heading 3"/>
    <w:basedOn w:val="Heading"/>
    <w:next w:val="TextBody"/>
    <w:qFormat/>
    <w:pPr>
      <w:spacing w:before="240" w:after="160"/>
      <w:outlineLvl w:val="2"/>
    </w:pPr>
    <w:rPr>
      <w:rFonts w:ascii="Liberation Serif" w:hAnsi="Liberation Serif" w:eastAsia="DejaVu Sans" w:cs="Noto Sans Devanagari"/>
      <w:b/>
      <w:bCs/>
      <w:color w:val="333333"/>
      <w:sz w:val="24"/>
      <w:szCs w:val="24"/>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jc w:val="star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TextBody"/>
    <w:pPr/>
    <w:rPr>
      <w:rFonts w:cs="Noto Sans Devanagari"/>
    </w:rPr>
  </w:style>
  <w:style w:type="paragraph" w:styleId="TextBody">
    <w:name w:val="Body Text"/>
    <w:basedOn w:val="Normal"/>
    <w:pPr>
      <w:spacing w:before="120" w:after="120"/>
      <w:jc w:val="both"/>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E6E6E6" w:val="clear"/>
      <w:jc w:val="start"/>
    </w:pPr>
    <w:rPr>
      <w:b/>
      <w:bCs/>
    </w:rPr>
  </w:style>
  <w:style w:type="paragraph" w:styleId="TextBodycenter">
    <w:name w:val="Text Body.center"/>
    <w:basedOn w:val="TextBody"/>
    <w:qFormat/>
    <w:pPr>
      <w:jc w:val="cen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