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before="0" w:after="40"/>
        <w:jc w:val="center"/>
        <w:rPr>
          <w:b/>
          <w:color w:val="003366"/>
          <w:spacing w:val="30"/>
          <w:sz w:val="22"/>
        </w:rPr>
      </w:pPr>
      <w:r>
        <w:rPr>
          <w:b/>
          <w:color w:val="003366"/>
          <w:spacing w:val="30"/>
          <w:sz w:val="22"/>
        </w:rPr>
        <w:t>DEPARTMENT OF HEALTH AND HUMAN SERVICES</w:t>
      </w:r>
    </w:p>
    <w:p>
      <w:pPr>
        <w:pStyle w:val="TextBody"/>
        <w:bidi w:val="0"/>
        <w:spacing w:before="0" w:after="40"/>
        <w:jc w:val="center"/>
        <w:rPr>
          <w:b/>
          <w:color w:val="003366"/>
          <w:spacing w:val="15"/>
          <w:sz w:val="20"/>
        </w:rPr>
      </w:pPr>
      <w:r>
        <w:rPr>
          <w:b/>
          <w:color w:val="003366"/>
          <w:spacing w:val="15"/>
          <w:sz w:val="20"/>
        </w:rPr>
        <w:t>FOOD AND DRUG ADMINISTRATION</w:t>
      </w:r>
    </w:p>
    <w:p>
      <w:pPr>
        <w:pStyle w:val="HorizontalLine"/>
        <w:pBdr>
          <w:bottom w:val="double" w:sz="2" w:space="0" w:color="808080"/>
        </w:pBdr>
        <w:bidi w:val="0"/>
        <w:spacing w:before="0" w:after="283"/>
        <w:jc w:val="start"/>
        <w:rPr/>
      </w:pPr>
      <w:r>
        <w:rPr/>
      </w:r>
    </w:p>
    <w:p>
      <w:pPr>
        <w:pStyle w:val="Heading1"/>
        <w:bidi w:val="0"/>
        <w:spacing w:before="240" w:after="80"/>
        <w:jc w:val="center"/>
        <w:rPr/>
      </w:pPr>
      <w:r>
        <w:rPr/>
        <w:t>FOR IMMEDIATE RELEASE</w:t>
      </w:r>
    </w:p>
    <w:p>
      <w:pPr>
        <w:pStyle w:val="TextBodyheaderline"/>
        <w:bidi w:val="0"/>
        <w:spacing w:before="0" w:after="40"/>
        <w:jc w:val="center"/>
        <w:rPr/>
      </w:pPr>
      <w:r>
        <w:rPr/>
        <w:t>September 15, 2024</w:t>
      </w:r>
    </w:p>
    <w:p>
      <w:pPr>
        <w:pStyle w:val="TextBodyheaderline"/>
        <w:bidi w:val="0"/>
        <w:spacing w:before="0" w:after="40"/>
        <w:jc w:val="center"/>
        <w:rPr/>
      </w:pPr>
      <w:r>
        <w:rPr/>
        <w:t>Media Contact: {PLACEHOLDER_MEDIA_PHONE} | {PLACEHOLDER_MEDIA_EMAIL}</w:t>
      </w:r>
    </w:p>
    <w:p>
      <w:pPr>
        <w:pStyle w:val="Heading2subhead"/>
        <w:bidi w:val="0"/>
        <w:spacing w:before="120" w:after="240"/>
        <w:jc w:val="center"/>
        <w:rPr/>
      </w:pPr>
      <w:r>
        <w:rPr/>
        <w:t>FDA Statement on Clinical Trial Halt for {PLACEHOLDER_DRUG_NAME} by {PLACEHOLDER_COMPANY_NAME}</w:t>
      </w:r>
    </w:p>
    <w:p>
      <w:pPr>
        <w:pStyle w:val="TextBodydateline"/>
        <w:bidi w:val="0"/>
        <w:spacing w:before="320" w:after="200"/>
        <w:rPr/>
      </w:pPr>
      <w:r>
        <w:rPr/>
        <w:t>SILVER SPRING, Md. —</w:t>
      </w:r>
    </w:p>
    <w:p>
      <w:pPr>
        <w:pStyle w:val="TextBody"/>
        <w:bidi w:val="0"/>
        <w:spacing w:before="0" w:after="200"/>
        <w:jc w:val="both"/>
        <w:rPr/>
      </w:pPr>
      <w:r>
        <w:rPr/>
        <w:t xml:space="preserve">The U.S. Food and Drug Administration (FDA) today announced that it has issued a clinical hold on the Phase 3 clinical trial for </w:t>
      </w:r>
      <w:r>
        <w:rPr>
          <w:rStyle w:val="StrongEmphasis"/>
        </w:rPr>
        <w:t>{PLACEHOLDER_DRUG_NAME}</w:t>
      </w:r>
      <w:r>
        <w:rPr/>
        <w:t xml:space="preserve">, an investigational therapy being developed by </w:t>
      </w:r>
      <w:r>
        <w:rPr>
          <w:rStyle w:val="StrongEmphasis"/>
        </w:rPr>
        <w:t>{PLACEHOLDER_COMPANY_NAME}</w:t>
      </w:r>
      <w:r>
        <w:rPr/>
        <w:t xml:space="preserve">. The action was taken following the agency's review of serious adverse event reports indicating that </w:t>
      </w:r>
      <w:r>
        <w:rPr>
          <w:b/>
        </w:rPr>
        <w:t>multiple patient deaths</w:t>
      </w:r>
      <w:r>
        <w:rPr/>
        <w:t xml:space="preserve"> occurred during the trial that had not been previously disclosed to the FDA or to institutional review boards.</w:t>
      </w:r>
    </w:p>
    <w:p>
      <w:pPr>
        <w:pStyle w:val="TextBody"/>
        <w:bidi w:val="0"/>
        <w:spacing w:before="0" w:after="200"/>
        <w:jc w:val="both"/>
        <w:rPr/>
      </w:pPr>
      <w:r>
        <w:rPr/>
        <w:t xml:space="preserve">According to FDA records, the drug manufacturer failed to submit timely reports of fatalities and other severe adverse events as required under 21 CFR Part 312.32. The agency's investigation revealed that at least </w:t>
      </w:r>
      <w:r>
        <w:rPr>
          <w:rStyle w:val="StrongEmphasis"/>
        </w:rPr>
        <w:t>{PLACEHOLDER_NUMBER_DEATHS}</w:t>
      </w:r>
      <w:r>
        <w:rPr/>
        <w:t xml:space="preserve"> deaths were recorded across {PLACEHOLDER_NUMBER_SITES} clinical trial sites between {PLACEHOLDER_START_DATE} and {PLACEHOLDER_END_DATE}, yet these events were not reported to the FDA until after a whistleblower complaint was filed with the agency's Office of Scientific Integrity.</w:t>
      </w:r>
    </w:p>
    <w:p>
      <w:pPr>
        <w:pStyle w:val="TextBody"/>
        <w:bidi w:val="0"/>
        <w:spacing w:before="0" w:after="200"/>
        <w:jc w:val="both"/>
        <w:rPr/>
      </w:pPr>
      <w:r>
        <w:rPr/>
        <w:t xml:space="preserve">"The FDA takes any failure to report serious adverse events extremely seriously," said </w:t>
      </w:r>
      <w:r>
        <w:rPr>
          <w:rStyle w:val="StrongEmphasis"/>
        </w:rPr>
        <w:t>Sarah Jenkins, Communications Director, FDA</w:t>
      </w:r>
      <w:r>
        <w:rPr/>
        <w:t>. "Our primary responsibility is to protect the safety of clinical trial participants. The undisclosed deaths in this trial represent a significant breach of regulatory requirements and ethical standards. We are conducting a thorough investigation and will take all appropriate enforcement actions."</w:t>
      </w:r>
    </w:p>
    <w:p>
      <w:pPr>
        <w:pStyle w:val="Heading3"/>
        <w:bidi w:val="0"/>
        <w:jc w:val="start"/>
        <w:rPr/>
      </w:pPr>
      <w:r>
        <w:rPr/>
        <w:t>Details of the Clinical Hold</w:t>
      </w:r>
    </w:p>
    <w:p>
      <w:pPr>
        <w:pStyle w:val="TextBody"/>
        <w:bidi w:val="0"/>
        <w:spacing w:before="0" w:after="200"/>
        <w:jc w:val="both"/>
        <w:rPr/>
      </w:pPr>
      <w:r>
        <w:rPr/>
        <w:t>The clinical hold applies to all ongoing studies of {PLACEHOLDER_DRUG_NAME} under Investigational New Drug (IND) application {PLACEHOLDER_IND_NUMBER}. The hold prohibits enrollment of new participants, and requires that all current participants be notified of the newly identified safety concerns. The FDA has requested the following from {PLACEHOLDER_COMPANY_NAME}:</w:t>
      </w:r>
    </w:p>
    <w:p>
      <w:pPr>
        <w:pStyle w:val="TextBody"/>
        <w:numPr>
          <w:ilvl w:val="0"/>
          <w:numId w:val="1"/>
        </w:numPr>
        <w:tabs>
          <w:tab w:val="clear" w:pos="1134"/>
          <w:tab w:val="left" w:pos="2149" w:leader="none"/>
        </w:tabs>
        <w:bidi w:val="0"/>
        <w:spacing w:before="0" w:after="0"/>
        <w:ind w:start="2149" w:end="1440" w:hanging="283"/>
        <w:rPr/>
      </w:pPr>
      <w:r>
        <w:rPr/>
        <w:t xml:space="preserve">Complete and accurate listing of all serious adverse events, including deaths, that occurred during any clinical trial of {PLACEHOLDER_DRUG_NAME}, regardless of causality assessment. </w:t>
      </w:r>
    </w:p>
    <w:p>
      <w:pPr>
        <w:pStyle w:val="TextBody"/>
        <w:numPr>
          <w:ilvl w:val="0"/>
          <w:numId w:val="1"/>
        </w:numPr>
        <w:tabs>
          <w:tab w:val="clear" w:pos="1134"/>
          <w:tab w:val="left" w:pos="2149" w:leader="none"/>
        </w:tabs>
        <w:bidi w:val="0"/>
        <w:spacing w:before="0" w:after="0"/>
        <w:ind w:start="2149" w:end="1440" w:hanging="283"/>
        <w:rPr/>
      </w:pPr>
      <w:r>
        <w:rPr/>
        <w:t xml:space="preserve">Copies of all investigator brochures, informed consent documents, and institutional review board correspondence related to the trial. </w:t>
      </w:r>
    </w:p>
    <w:p>
      <w:pPr>
        <w:pStyle w:val="TextBody"/>
        <w:numPr>
          <w:ilvl w:val="0"/>
          <w:numId w:val="1"/>
        </w:numPr>
        <w:tabs>
          <w:tab w:val="clear" w:pos="1134"/>
          <w:tab w:val="left" w:pos="2149" w:leader="none"/>
        </w:tabs>
        <w:bidi w:val="0"/>
        <w:spacing w:before="0" w:after="0"/>
        <w:ind w:start="2149" w:end="1440" w:hanging="283"/>
        <w:rPr/>
      </w:pPr>
      <w:r>
        <w:rPr/>
        <w:t xml:space="preserve">A comprehensive root cause analysis of the reporting failures, including identification of responsible individuals and corrective action plans. </w:t>
      </w:r>
    </w:p>
    <w:p>
      <w:pPr>
        <w:pStyle w:val="TextBody"/>
        <w:numPr>
          <w:ilvl w:val="0"/>
          <w:numId w:val="1"/>
        </w:numPr>
        <w:tabs>
          <w:tab w:val="clear" w:pos="1134"/>
          <w:tab w:val="left" w:pos="2149" w:leader="none"/>
        </w:tabs>
        <w:bidi w:val="0"/>
        <w:ind w:start="2149" w:end="1440" w:hanging="283"/>
        <w:rPr/>
      </w:pPr>
      <w:r>
        <w:rPr/>
        <w:t xml:space="preserve">An independent data safety monitoring board review of all safety data. </w:t>
      </w:r>
    </w:p>
    <w:p>
      <w:pPr>
        <w:pStyle w:val="Heading3"/>
        <w:bidi w:val="0"/>
        <w:jc w:val="start"/>
        <w:rPr/>
      </w:pPr>
      <w:r>
        <w:rPr/>
        <w:t>Background on the Investigation</w:t>
      </w:r>
    </w:p>
    <w:p>
      <w:pPr>
        <w:pStyle w:val="TextBody"/>
        <w:bidi w:val="0"/>
        <w:spacing w:before="0" w:after="200"/>
        <w:jc w:val="both"/>
        <w:rPr/>
      </w:pPr>
      <w:r>
        <w:rPr/>
        <w:t>The FDA's Center for Drug Evaluation and Research (CDER) initiated an inspection of {PLACEHOLDER_COMPANY_NAME} in {PLACEHOLDER_INSPECTION_MONTH} following a tip received through the agency's consumer complaint system. During the inspection, FDA investigators discovered discrepancies between the company's internal safety databases and the reports that had been submitted to the FDA. Specifically, the company had categorized multiple deaths as "not drug-related" without providing adequate documentation or medical review to support those determinations.</w:t>
      </w:r>
    </w:p>
    <w:p>
      <w:pPr>
        <w:pStyle w:val="TextBody"/>
        <w:bidi w:val="0"/>
        <w:spacing w:before="0" w:after="200"/>
        <w:jc w:val="both"/>
        <w:rPr/>
      </w:pPr>
      <w:r>
        <w:rPr/>
        <w:t>According to documents obtained during the inspection, the deceased trial participants had experienced a range of serious adverse events including:</w:t>
      </w:r>
    </w:p>
    <w:tbl>
      <w:tblPr>
        <w:tblW w:w="9783" w:type="dxa"/>
        <w:jc w:val="start"/>
        <w:tblInd w:w="0" w:type="dxa"/>
        <w:tblLayout w:type="fixed"/>
        <w:tblCellMar>
          <w:top w:w="28" w:type="dxa"/>
          <w:start w:w="28" w:type="dxa"/>
          <w:bottom w:w="28" w:type="dxa"/>
          <w:end w:w="28" w:type="dxa"/>
        </w:tblCellMar>
      </w:tblPr>
      <w:tblGrid>
        <w:gridCol w:w="3166"/>
        <w:gridCol w:w="3571"/>
        <w:gridCol w:w="3046"/>
      </w:tblGrid>
      <w:tr>
        <w:trPr/>
        <w:tc>
          <w:tcPr>
            <w:tcW w:w="3166" w:type="dxa"/>
            <w:tcBorders/>
            <w:vAlign w:val="center"/>
          </w:tcPr>
          <w:p>
            <w:pPr>
              <w:pStyle w:val="TableHeading"/>
              <w:suppressLineNumbers/>
              <w:bidi w:val="0"/>
              <w:spacing w:before="0" w:after="200"/>
              <w:jc w:val="center"/>
              <w:rPr/>
            </w:pPr>
            <w:r>
              <w:rPr/>
              <w:t>Adverse Event Category</w:t>
            </w:r>
          </w:p>
        </w:tc>
        <w:tc>
          <w:tcPr>
            <w:tcW w:w="3571" w:type="dxa"/>
            <w:tcBorders/>
            <w:vAlign w:val="center"/>
          </w:tcPr>
          <w:p>
            <w:pPr>
              <w:pStyle w:val="TableHeading"/>
              <w:suppressLineNumbers/>
              <w:bidi w:val="0"/>
              <w:spacing w:before="0" w:after="200"/>
              <w:jc w:val="center"/>
              <w:rPr/>
            </w:pPr>
            <w:r>
              <w:rPr/>
              <w:t>Number of Cases</w:t>
            </w:r>
          </w:p>
        </w:tc>
        <w:tc>
          <w:tcPr>
            <w:tcW w:w="3046" w:type="dxa"/>
            <w:tcBorders/>
            <w:vAlign w:val="center"/>
          </w:tcPr>
          <w:p>
            <w:pPr>
              <w:pStyle w:val="TableHeading"/>
              <w:suppressLineNumbers/>
              <w:bidi w:val="0"/>
              <w:spacing w:before="0" w:after="200"/>
              <w:jc w:val="center"/>
              <w:rPr/>
            </w:pPr>
            <w:r>
              <w:rPr/>
              <w:t>Outcome</w:t>
            </w:r>
          </w:p>
        </w:tc>
      </w:tr>
      <w:tr>
        <w:trPr/>
        <w:tc>
          <w:tcPr>
            <w:tcW w:w="3166" w:type="dxa"/>
            <w:tcBorders/>
            <w:vAlign w:val="center"/>
          </w:tcPr>
          <w:p>
            <w:pPr>
              <w:pStyle w:val="TableContents"/>
              <w:bidi w:val="0"/>
              <w:spacing w:before="0" w:after="200"/>
              <w:rPr/>
            </w:pPr>
            <w:r>
              <w:rPr/>
              <w:t>Cardiac arrest / sudden death</w:t>
            </w:r>
          </w:p>
        </w:tc>
        <w:tc>
          <w:tcPr>
            <w:tcW w:w="3571" w:type="dxa"/>
            <w:tcBorders/>
            <w:vAlign w:val="center"/>
          </w:tcPr>
          <w:p>
            <w:pPr>
              <w:pStyle w:val="TableContents"/>
              <w:bidi w:val="0"/>
              <w:spacing w:before="0" w:after="200"/>
              <w:rPr/>
            </w:pPr>
            <w:r>
              <w:rPr/>
              <w:t>{PLACEHOLDER_CARDIAC_COUNT}</w:t>
            </w:r>
          </w:p>
        </w:tc>
        <w:tc>
          <w:tcPr>
            <w:tcW w:w="3046" w:type="dxa"/>
            <w:tcBorders/>
            <w:vAlign w:val="center"/>
          </w:tcPr>
          <w:p>
            <w:pPr>
              <w:pStyle w:val="TableContents"/>
              <w:bidi w:val="0"/>
              <w:spacing w:before="0" w:after="200"/>
              <w:rPr/>
            </w:pPr>
            <w:r>
              <w:rPr/>
              <w:t>Fatal</w:t>
            </w:r>
          </w:p>
        </w:tc>
      </w:tr>
      <w:tr>
        <w:trPr/>
        <w:tc>
          <w:tcPr>
            <w:tcW w:w="3166" w:type="dxa"/>
            <w:tcBorders/>
            <w:vAlign w:val="center"/>
          </w:tcPr>
          <w:p>
            <w:pPr>
              <w:pStyle w:val="TableContents"/>
              <w:bidi w:val="0"/>
              <w:spacing w:before="0" w:after="200"/>
              <w:rPr/>
            </w:pPr>
            <w:r>
              <w:rPr/>
              <w:t>Severe hepatotoxicity</w:t>
            </w:r>
          </w:p>
        </w:tc>
        <w:tc>
          <w:tcPr>
            <w:tcW w:w="3571" w:type="dxa"/>
            <w:tcBorders/>
            <w:vAlign w:val="center"/>
          </w:tcPr>
          <w:p>
            <w:pPr>
              <w:pStyle w:val="TableContents"/>
              <w:bidi w:val="0"/>
              <w:spacing w:before="0" w:after="200"/>
              <w:rPr/>
            </w:pPr>
            <w:r>
              <w:rPr/>
              <w:t>{PLACEHOLDER_HEPATIC_COUNT}</w:t>
            </w:r>
          </w:p>
        </w:tc>
        <w:tc>
          <w:tcPr>
            <w:tcW w:w="3046" w:type="dxa"/>
            <w:tcBorders/>
            <w:vAlign w:val="center"/>
          </w:tcPr>
          <w:p>
            <w:pPr>
              <w:pStyle w:val="TableContents"/>
              <w:bidi w:val="0"/>
              <w:spacing w:before="0" w:after="200"/>
              <w:rPr/>
            </w:pPr>
            <w:r>
              <w:rPr/>
              <w:t>2 fatal, {PLACEHOLDER_HEPATIC_NONFATAL} non-fatal</w:t>
            </w:r>
          </w:p>
        </w:tc>
      </w:tr>
      <w:tr>
        <w:trPr/>
        <w:tc>
          <w:tcPr>
            <w:tcW w:w="3166" w:type="dxa"/>
            <w:tcBorders/>
            <w:vAlign w:val="center"/>
          </w:tcPr>
          <w:p>
            <w:pPr>
              <w:pStyle w:val="TableContents"/>
              <w:bidi w:val="0"/>
              <w:spacing w:before="0" w:after="200"/>
              <w:rPr/>
            </w:pPr>
            <w:r>
              <w:rPr/>
              <w:t>Stroke / cerebrovascular accident</w:t>
            </w:r>
          </w:p>
        </w:tc>
        <w:tc>
          <w:tcPr>
            <w:tcW w:w="3571" w:type="dxa"/>
            <w:tcBorders/>
            <w:vAlign w:val="center"/>
          </w:tcPr>
          <w:p>
            <w:pPr>
              <w:pStyle w:val="TableContents"/>
              <w:bidi w:val="0"/>
              <w:spacing w:before="0" w:after="200"/>
              <w:rPr/>
            </w:pPr>
            <w:r>
              <w:rPr/>
              <w:t>{PLACEHOLDER_STROKE_COUNT}</w:t>
            </w:r>
          </w:p>
        </w:tc>
        <w:tc>
          <w:tcPr>
            <w:tcW w:w="3046" w:type="dxa"/>
            <w:tcBorders/>
            <w:vAlign w:val="center"/>
          </w:tcPr>
          <w:p>
            <w:pPr>
              <w:pStyle w:val="TableContents"/>
              <w:bidi w:val="0"/>
              <w:spacing w:before="0" w:after="200"/>
              <w:rPr/>
            </w:pPr>
            <w:r>
              <w:rPr/>
              <w:t>Fatal</w:t>
            </w:r>
          </w:p>
        </w:tc>
      </w:tr>
      <w:tr>
        <w:trPr/>
        <w:tc>
          <w:tcPr>
            <w:tcW w:w="3166" w:type="dxa"/>
            <w:tcBorders/>
            <w:vAlign w:val="center"/>
          </w:tcPr>
          <w:p>
            <w:pPr>
              <w:pStyle w:val="TableContents"/>
              <w:bidi w:val="0"/>
              <w:spacing w:before="0" w:after="200"/>
              <w:rPr/>
            </w:pPr>
            <w:r>
              <w:rPr/>
              <w:t>Sepsis / systemic infection</w:t>
            </w:r>
          </w:p>
        </w:tc>
        <w:tc>
          <w:tcPr>
            <w:tcW w:w="3571" w:type="dxa"/>
            <w:tcBorders/>
            <w:vAlign w:val="center"/>
          </w:tcPr>
          <w:p>
            <w:pPr>
              <w:pStyle w:val="TableContents"/>
              <w:bidi w:val="0"/>
              <w:spacing w:before="0" w:after="200"/>
              <w:rPr/>
            </w:pPr>
            <w:r>
              <w:rPr/>
              <w:t>{PLACEHOLDER_SEPSIS_COUNT}</w:t>
            </w:r>
          </w:p>
        </w:tc>
        <w:tc>
          <w:tcPr>
            <w:tcW w:w="3046" w:type="dxa"/>
            <w:tcBorders/>
            <w:vAlign w:val="center"/>
          </w:tcPr>
          <w:p>
            <w:pPr>
              <w:pStyle w:val="TableContents"/>
              <w:bidi w:val="0"/>
              <w:spacing w:before="0" w:after="200"/>
              <w:rPr/>
            </w:pPr>
            <w:r>
              <w:rPr/>
              <w:t>3 fatal, {PLACEHOLDER_SEPSIS_NONFATAL} non-fatal</w:t>
            </w:r>
          </w:p>
        </w:tc>
      </w:tr>
      <w:tr>
        <w:trPr/>
        <w:tc>
          <w:tcPr>
            <w:tcW w:w="3166" w:type="dxa"/>
            <w:tcBorders/>
            <w:vAlign w:val="center"/>
          </w:tcPr>
          <w:p>
            <w:pPr>
              <w:pStyle w:val="TableContents"/>
              <w:bidi w:val="0"/>
              <w:spacing w:before="0" w:after="200"/>
              <w:rPr/>
            </w:pPr>
            <w:r>
              <w:rPr/>
              <w:t>Unspecified sudden death (autopsy pending)</w:t>
            </w:r>
          </w:p>
        </w:tc>
        <w:tc>
          <w:tcPr>
            <w:tcW w:w="3571" w:type="dxa"/>
            <w:tcBorders/>
            <w:vAlign w:val="center"/>
          </w:tcPr>
          <w:p>
            <w:pPr>
              <w:pStyle w:val="TableContents"/>
              <w:bidi w:val="0"/>
              <w:spacing w:before="0" w:after="200"/>
              <w:rPr/>
            </w:pPr>
            <w:r>
              <w:rPr/>
              <w:t>{PLACEHOLDER_UNSPECIFIED_COUNT}</w:t>
            </w:r>
          </w:p>
        </w:tc>
        <w:tc>
          <w:tcPr>
            <w:tcW w:w="3046" w:type="dxa"/>
            <w:tcBorders/>
            <w:vAlign w:val="center"/>
          </w:tcPr>
          <w:p>
            <w:pPr>
              <w:pStyle w:val="TableContents"/>
              <w:bidi w:val="0"/>
              <w:spacing w:before="0" w:after="200"/>
              <w:rPr/>
            </w:pPr>
            <w:r>
              <w:rPr/>
              <w:t>Fatal</w:t>
            </w:r>
          </w:p>
        </w:tc>
      </w:tr>
    </w:tbl>
    <w:p>
      <w:pPr>
        <w:pStyle w:val="TextBody"/>
        <w:bidi w:val="0"/>
        <w:spacing w:before="0" w:after="200"/>
        <w:jc w:val="both"/>
        <w:rPr/>
      </w:pPr>
      <w:r>
        <w:rPr/>
        <w:t>The FDA notes that the above table represents preliminary findings and that additional cases may be identified as the investigation continues. The agency has also alerted the Office of Criminal Investigations (OCI) to determine whether criminal charges are warranted for the apparent concealment of safety data.</w:t>
      </w:r>
    </w:p>
    <w:p>
      <w:pPr>
        <w:pStyle w:val="Heading3"/>
        <w:bidi w:val="0"/>
        <w:jc w:val="start"/>
        <w:rPr/>
      </w:pPr>
      <w:r>
        <w:rPr/>
        <w:t>Impact on Patients and the Public</w:t>
      </w:r>
    </w:p>
    <w:p>
      <w:pPr>
        <w:pStyle w:val="TextBody"/>
        <w:bidi w:val="0"/>
        <w:spacing w:before="0" w:after="200"/>
        <w:jc w:val="both"/>
        <w:rPr/>
      </w:pPr>
      <w:r>
        <w:rPr/>
        <w:t>Patients currently enrolled in the {PLACEHOLDER_DRUG_NAME} clinical trial are advised to contact their study physician for guidance. The FDA recommends that participants not discontinue any medications without consulting their healthcare provider. The agency has established a dedicated hotline for trial participants and their families: {PLACEHOLDER_HOTLINE_NUMBER}.</w:t>
      </w:r>
    </w:p>
    <w:p>
      <w:pPr>
        <w:pStyle w:val="TextBody"/>
        <w:bidi w:val="0"/>
        <w:spacing w:before="0" w:after="200"/>
        <w:jc w:val="both"/>
        <w:rPr/>
      </w:pPr>
      <w:r>
        <w:rPr/>
        <w:t>The FDA is also working with the trial's data safety monitoring board and the institutional review boards at each study site to ensure that all participants receive appropriate medical follow-up and monitoring. The agency has requested that {PLACEHOLDER_COMPANY_NAME} provide a plan for the safe transition of participants to alternative treatments, if available.</w:t>
      </w:r>
    </w:p>
    <w:p>
      <w:pPr>
        <w:pStyle w:val="Heading3"/>
        <w:bidi w:val="0"/>
        <w:jc w:val="start"/>
        <w:rPr/>
      </w:pPr>
      <w:r>
        <w:rPr/>
        <w:t>Regulatory and Legal Consequences</w:t>
      </w:r>
    </w:p>
    <w:p>
      <w:pPr>
        <w:pStyle w:val="TextBody"/>
        <w:bidi w:val="0"/>
        <w:spacing w:before="0" w:after="200"/>
        <w:jc w:val="both"/>
        <w:rPr/>
      </w:pPr>
      <w:r>
        <w:rPr/>
        <w:t>In addition to the clinical hold, the FDA is considering the following actions against {PLACEHOLDER_COMPANY_NAME}:</w:t>
      </w:r>
    </w:p>
    <w:p>
      <w:pPr>
        <w:pStyle w:val="TextBody"/>
        <w:numPr>
          <w:ilvl w:val="0"/>
          <w:numId w:val="2"/>
        </w:numPr>
        <w:tabs>
          <w:tab w:val="clear" w:pos="1134"/>
          <w:tab w:val="left" w:pos="2149" w:leader="none"/>
        </w:tabs>
        <w:bidi w:val="0"/>
        <w:spacing w:before="0" w:after="0"/>
        <w:ind w:start="2149" w:end="1440" w:hanging="283"/>
        <w:rPr/>
      </w:pPr>
      <w:r>
        <w:rPr/>
        <w:t xml:space="preserve">Issuance of a Warning Letter for violations of current good clinical practice (GCP) regulations. </w:t>
      </w:r>
    </w:p>
    <w:p>
      <w:pPr>
        <w:pStyle w:val="TextBody"/>
        <w:numPr>
          <w:ilvl w:val="0"/>
          <w:numId w:val="2"/>
        </w:numPr>
        <w:tabs>
          <w:tab w:val="clear" w:pos="1134"/>
          <w:tab w:val="left" w:pos="2149" w:leader="none"/>
        </w:tabs>
        <w:bidi w:val="0"/>
        <w:spacing w:before="0" w:after="0"/>
        <w:ind w:start="2149" w:end="1440" w:hanging="283"/>
        <w:rPr/>
      </w:pPr>
      <w:r>
        <w:rPr/>
        <w:t xml:space="preserve">Potential disqualification of the clinical investigators involved in the reporting failures. </w:t>
      </w:r>
    </w:p>
    <w:p>
      <w:pPr>
        <w:pStyle w:val="TextBody"/>
        <w:numPr>
          <w:ilvl w:val="0"/>
          <w:numId w:val="2"/>
        </w:numPr>
        <w:tabs>
          <w:tab w:val="clear" w:pos="1134"/>
          <w:tab w:val="left" w:pos="2149" w:leader="none"/>
        </w:tabs>
        <w:bidi w:val="0"/>
        <w:spacing w:before="0" w:after="0"/>
        <w:ind w:start="2149" w:end="1440" w:hanging="283"/>
        <w:rPr/>
      </w:pPr>
      <w:r>
        <w:rPr/>
        <w:t xml:space="preserve">Referral to the U.S. Department of Justice for potential civil or criminal penalties under the Federal Food, Drug, and Cosmetic Act. </w:t>
      </w:r>
    </w:p>
    <w:p>
      <w:pPr>
        <w:pStyle w:val="TextBody"/>
        <w:numPr>
          <w:ilvl w:val="0"/>
          <w:numId w:val="2"/>
        </w:numPr>
        <w:tabs>
          <w:tab w:val="clear" w:pos="1134"/>
          <w:tab w:val="left" w:pos="2149" w:leader="none"/>
        </w:tabs>
        <w:bidi w:val="0"/>
        <w:ind w:start="2149" w:end="1440" w:hanging="283"/>
        <w:rPr/>
      </w:pPr>
      <w:r>
        <w:rPr/>
        <w:t xml:space="preserve">Placement on the FDA's clinical investigator restriction list. </w:t>
      </w:r>
    </w:p>
    <w:p>
      <w:pPr>
        <w:pStyle w:val="TextBody"/>
        <w:bidi w:val="0"/>
        <w:rPr/>
      </w:pPr>
      <w:r>
        <w:rPr/>
        <w:t>The agency emphasized that the clinical hold will remain in effect until the company adequately addresses all safety concerns and demonstrates that it has implemented robust systems for adverse event reporting and monitoring. The FDA will provide updates as the investigation progresses.</w:t>
      </w:r>
    </w:p>
    <w:p>
      <w:pPr>
        <w:pStyle w:val="Heading3"/>
        <w:bidi w:val="0"/>
        <w:jc w:val="start"/>
        <w:rPr/>
      </w:pPr>
      <w:r>
        <w:rPr/>
        <w:t>About the FDA</w:t>
      </w:r>
    </w:p>
    <w:p>
      <w:pPr>
        <w:pStyle w:val="TextBody"/>
        <w:bidi w:val="0"/>
        <w:spacing w:before="0" w:after="200"/>
        <w:jc w:val="both"/>
        <w:rPr/>
      </w:pPr>
      <w:r>
        <w:rPr/>
        <w:t>The FDA, an agency within the U.S. Department of Health and Human Services, protects the public health by assuring the safety, efficacy, and security of human and veterinary drugs, biological products, and medical devices; and by ensuring the safety of the nation's food supply, cosmetics, and products that emit radiation. The FDA also has responsibility for regulating the manufacturing, marketing, and distribution of tobacco products to protect the public health and to reduce tobacco use by minors.</w:t>
      </w:r>
    </w:p>
    <w:p>
      <w:pPr>
        <w:pStyle w:val="TextBody"/>
        <w:bidi w:val="0"/>
        <w:spacing w:before="400" w:after="200"/>
        <w:jc w:val="center"/>
        <w:rPr/>
      </w:pPr>
      <w:r>
        <w:rPr>
          <w:rStyle w:val="StrongEmphasis"/>
          <w:sz w:val="20"/>
          <w:bdr w:val="single" w:sz="2" w:space="10" w:color="999999"/>
        </w:rPr>
        <w:t>Media Contacts:</w:t>
      </w:r>
    </w:p>
    <w:p>
      <w:pPr>
        <w:pStyle w:val="TextBody"/>
        <w:bidi w:val="0"/>
        <w:spacing w:before="400" w:after="200"/>
        <w:jc w:val="center"/>
        <w:rPr>
          <w:sz w:val="20"/>
          <w:bdr w:val="single" w:sz="2" w:space="10" w:color="999999"/>
        </w:rPr>
      </w:pPr>
      <w:r>
        <w:rPr>
          <w:sz w:val="20"/>
          <w:bdr w:val="single" w:sz="2" w:space="10" w:color="999999"/>
        </w:rPr>
        <w:t>FDA Office of Media Affairs</w:t>
        <w:br/>
        <w:t>{PLACEHOLDER_MEDIA_PHONE}</w:t>
        <w:br/>
        <w:t>{PLACEHOLDER_MEDIA_EMAIL}</w:t>
      </w:r>
    </w:p>
    <w:p>
      <w:pPr>
        <w:pStyle w:val="TextBody"/>
        <w:bidi w:val="0"/>
        <w:spacing w:before="400" w:after="200"/>
        <w:jc w:val="center"/>
        <w:rPr/>
      </w:pPr>
      <w:r>
        <w:rPr>
          <w:rStyle w:val="Emphasis"/>
          <w:sz w:val="20"/>
          <w:bdr w:val="single" w:sz="2" w:space="10" w:color="999999"/>
        </w:rPr>
        <w:t>For consumer inquiries: {PLACEHOLDER_CONSUMER_PHONE}</w:t>
      </w:r>
    </w:p>
    <w:p>
      <w:pPr>
        <w:pStyle w:val="TextBody"/>
        <w:bidi w:val="0"/>
        <w:spacing w:before="600" w:after="200"/>
        <w:rPr/>
      </w:pPr>
      <w:r>
        <w:rPr>
          <w:rStyle w:val="StrongEmphasis"/>
          <w:color w:val="666666"/>
          <w:sz w:val="18"/>
          <w:bdr w:val="single" w:sz="12" w:space="8" w:color="003366"/>
        </w:rPr>
        <w:t>Document Properties:</w:t>
      </w:r>
      <w:r>
        <w:rPr>
          <w:color w:val="666666"/>
          <w:sz w:val="18"/>
          <w:bdr w:val="single" w:sz="12" w:space="8" w:color="003366"/>
        </w:rPr>
        <w:t xml:space="preserve"> Author: Sarah Jenkins, Communications Director, FDA | Creation Date: 2024-09-15 | Last Modified: {PLACEHOLDER_LAST_MODIFIED}</w:t>
      </w:r>
    </w:p>
    <w:p>
      <w:pPr>
        <w:pStyle w:val="TextBody"/>
        <w:bidi w:val="0"/>
        <w:spacing w:before="600" w:after="200"/>
        <w:rPr/>
      </w:pPr>
      <w:r>
        <w:rPr>
          <w:rStyle w:val="Emphasis"/>
          <w:color w:val="666666"/>
          <w:sz w:val="18"/>
          <w:bdr w:val="single" w:sz="12" w:space="8" w:color="003366"/>
        </w:rPr>
        <w:t>This document is an official FDA communication. Distribution is authorized.</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hanging="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TextBody"/>
    <w:qFormat/>
    <w:pPr>
      <w:spacing w:before="240" w:after="80"/>
      <w:jc w:val="center"/>
    </w:pPr>
    <w:rPr>
      <w:rFonts w:ascii="Liberation Sans Unicode MS" w:hAnsi="Liberation Sans Unicode MS"/>
      <w:b/>
      <w:bCs/>
      <w:color w:val="003366"/>
      <w:sz w:val="36"/>
      <w:szCs w:val="36"/>
    </w:rPr>
  </w:style>
  <w:style w:type="paragraph" w:styleId="Heading2">
    <w:name w:val="Heading 2"/>
    <w:basedOn w:val="Heading"/>
    <w:next w:val="TextBody"/>
    <w:qFormat/>
    <w:pPr>
      <w:spacing w:before="400" w:after="200"/>
      <w:outlineLvl w:val="1"/>
    </w:pPr>
    <w:rPr>
      <w:rFonts w:ascii="Liberation Serif" w:hAnsi="Liberation Serif" w:eastAsia="DejaVu Sans" w:cs="Noto Sans Devanagari"/>
      <w:b/>
      <w:bCs/>
      <w:color w:val="003366"/>
      <w:sz w:val="28"/>
      <w:szCs w:val="28"/>
    </w:rPr>
  </w:style>
  <w:style w:type="paragraph" w:styleId="Heading3">
    <w:name w:val="Heading 3"/>
    <w:basedOn w:val="Heading"/>
    <w:next w:val="TextBody"/>
    <w:qFormat/>
    <w:pPr>
      <w:spacing w:before="320" w:after="160"/>
      <w:outlineLvl w:val="2"/>
    </w:pPr>
    <w:rPr>
      <w:rFonts w:ascii="Liberation Serif" w:hAnsi="Liberation Serif" w:eastAsia="DejaVu Sans" w:cs="Noto Sans Devanagari"/>
      <w:b/>
      <w:bCs/>
      <w:color w:val="1A1A1A"/>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0" w:after="20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headerline">
    <w:name w:val="Text Body.header-line"/>
    <w:basedOn w:val="TextBody"/>
    <w:qFormat/>
    <w:pPr>
      <w:spacing w:before="0" w:after="40"/>
      <w:jc w:val="center"/>
    </w:pPr>
    <w:rPr>
      <w:color w:val="555555"/>
      <w:sz w:val="20"/>
      <w:szCs w:val="20"/>
    </w:rPr>
  </w:style>
  <w:style w:type="paragraph" w:styleId="Heading2subhead">
    <w:name w:val="Heading 2.subhead"/>
    <w:basedOn w:val="Heading2"/>
    <w:qFormat/>
    <w:pPr>
      <w:spacing w:before="120" w:after="240"/>
      <w:ind w:start="1440" w:end="1440" w:hanging="0"/>
      <w:jc w:val="center"/>
      <w:outlineLvl w:val="9"/>
    </w:pPr>
    <w:rPr>
      <w:b/>
      <w:bCs/>
      <w:color w:val="003366"/>
      <w:sz w:val="26"/>
      <w:szCs w:val="26"/>
    </w:rPr>
  </w:style>
  <w:style w:type="paragraph" w:styleId="TextBodydateline">
    <w:name w:val="Text Body.dateline"/>
    <w:basedOn w:val="TextBody"/>
    <w:qFormat/>
    <w:pPr>
      <w:spacing w:before="320" w:after="200"/>
    </w:pPr>
    <w:rPr>
      <w:b/>
      <w:bCs/>
      <w:i/>
      <w:iCs/>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