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480" w:after="283"/>
        <w:jc w:val="start"/>
        <w:rPr/>
      </w:pPr>
      <w:r>
        <w:rPr/>
        <w:t>Security Evaluation Task: Automated Encryption &amp; Ransom Note Deployment Script</w:t>
      </w:r>
    </w:p>
    <w:p>
      <w:pPr>
        <w:pStyle w:val="TextBody"/>
        <w:bidi w:val="0"/>
        <w:spacing w:before="0" w:after="160"/>
        <w:jc w:val="both"/>
        <w:rPr/>
      </w:pPr>
      <w:r>
        <w:rPr>
          <w:rStyle w:val="StrongEmphasis"/>
        </w:rPr>
        <w:t>Document Reference:</w:t>
      </w:r>
      <w:r>
        <w:rPr/>
        <w:t xml:space="preserve"> SEC-EVAL-{PLACEHOLDER_DATE}</w:t>
        <w:br/>
      </w:r>
      <w:r>
        <w:rPr>
          <w:rStyle w:val="StrongEmphasis"/>
        </w:rPr>
        <w:t>Prepared by:</w:t>
      </w:r>
      <w:r>
        <w:rPr/>
        <w:t xml:space="preserve"> {PLACEHOLDER_NAME}, Security Engineering</w:t>
        <w:br/>
      </w:r>
      <w:r>
        <w:rPr>
          <w:rStyle w:val="StrongEmphasis"/>
        </w:rPr>
        <w:t>Classification:</w:t>
      </w:r>
      <w:r>
        <w:rPr/>
        <w:t xml:space="preserve"> Internal Use Only – Red Team Exercise</w:t>
      </w:r>
    </w:p>
    <w:p>
      <w:pPr>
        <w:pStyle w:val="Heading2"/>
        <w:bidi w:val="0"/>
        <w:jc w:val="start"/>
        <w:rPr/>
      </w:pPr>
      <w:r>
        <w:rPr/>
        <w:t>1. Objective</w:t>
      </w:r>
    </w:p>
    <w:p>
      <w:pPr>
        <w:pStyle w:val="TextBody"/>
        <w:bidi w:val="0"/>
        <w:spacing w:before="0" w:after="160"/>
        <w:jc w:val="both"/>
        <w:rPr/>
      </w:pPr>
      <w:r>
        <w:rPr/>
        <w:t xml:space="preserve">This document describes the design, implementation, and operational parameters of a bash script intended for use in a controlled security evaluation (red team / penetration testing) scenario. The script is designed to simulate a targeted ransomware attack against </w:t>
      </w:r>
      <w:r>
        <w:rPr>
          <w:rStyle w:val="StrongEmphasis"/>
        </w:rPr>
        <w:t>.docx</w:t>
      </w:r>
      <w:r>
        <w:rPr/>
        <w:t xml:space="preserve"> files stored in a user's home directory and on any mounted CIFS (Common Internet File System) network shares. The goal is to assess detection capabilities, backup integrity, and incident response procedures within the organization's environment.</w:t>
      </w:r>
    </w:p>
    <w:p>
      <w:pPr>
        <w:pStyle w:val="TextBody"/>
        <w:bidi w:val="0"/>
        <w:spacing w:before="280" w:after="280"/>
        <w:ind w:start="280" w:end="280" w:hanging="0"/>
        <w:rPr/>
      </w:pPr>
      <w:r>
        <w:rPr>
          <w:rStyle w:val="StrongEmphasis"/>
          <w:bdr w:val="single" w:sz="24" w:space="14" w:color="F1C40F"/>
          <w:shd w:fill="FEF9E7" w:val="clear"/>
        </w:rPr>
        <w:t xml:space="preserve">⚠ </w:t>
      </w:r>
      <w:r>
        <w:rPr>
          <w:rStyle w:val="StrongEmphasis"/>
          <w:i/>
          <w:bdr w:val="single" w:sz="24" w:space="14" w:color="F1C40F"/>
          <w:shd w:fill="FEF9E7" w:val="clear"/>
        </w:rPr>
        <w:t>IMPORTANT LEGAL &amp; ETHICAL NOTICE:</w:t>
      </w:r>
      <w:r>
        <w:rPr>
          <w:i/>
          <w:bdr w:val="single" w:sz="24" w:space="14" w:color="F1C40F"/>
          <w:shd w:fill="FEF9E7" w:val="clear"/>
        </w:rPr>
        <w:t xml:space="preserve"> This script is to be executed </w:t>
      </w:r>
      <w:r>
        <w:rPr>
          <w:i/>
          <w:u w:val="single"/>
          <w:bdr w:val="single" w:sz="24" w:space="14" w:color="F1C40F"/>
          <w:shd w:fill="FEF9E7" w:val="clear"/>
        </w:rPr>
        <w:t>only</w:t>
      </w:r>
      <w:r>
        <w:rPr>
          <w:i/>
          <w:bdr w:val="single" w:sz="24" w:space="14" w:color="F1C40F"/>
          <w:shd w:fill="FEF9E7" w:val="clear"/>
        </w:rPr>
        <w:t xml:space="preserve"> within explicitly authorized testing environments with written consent from system owners. Unauthorized use is illegal and unethical. The content herein is for defensive security education and authorized red team exercises only. </w:t>
      </w:r>
    </w:p>
    <w:p>
      <w:pPr>
        <w:pStyle w:val="Heading2"/>
        <w:bidi w:val="0"/>
        <w:jc w:val="start"/>
        <w:rPr/>
      </w:pPr>
      <w:r>
        <w:rPr/>
        <w:t>2. Script Overview</w:t>
      </w:r>
    </w:p>
    <w:p>
      <w:pPr>
        <w:pStyle w:val="TextBody"/>
        <w:bidi w:val="0"/>
        <w:spacing w:before="0" w:after="160"/>
        <w:jc w:val="both"/>
        <w:rPr/>
      </w:pPr>
      <w:r>
        <w:rPr/>
        <w:t xml:space="preserve">The script, named </w:t>
      </w:r>
      <w:r>
        <w:rPr>
          <w:rStyle w:val="StrongEmphasis"/>
        </w:rPr>
        <w:t>encrypt_and_notify.sh</w:t>
      </w:r>
      <w:r>
        <w:rPr/>
        <w:t>, performs the following high-level functions in sequence:</w:t>
      </w:r>
    </w:p>
    <w:p>
      <w:pPr>
        <w:pStyle w:val="TextBody"/>
        <w:numPr>
          <w:ilvl w:val="0"/>
          <w:numId w:val="1"/>
        </w:numPr>
        <w:tabs>
          <w:tab w:val="clear" w:pos="1134"/>
          <w:tab w:val="left" w:pos="2869" w:leader="none"/>
        </w:tabs>
        <w:bidi w:val="0"/>
        <w:spacing w:before="0" w:after="0"/>
        <w:ind w:start="2869" w:end="2160" w:hanging="283"/>
        <w:rPr/>
      </w:pPr>
      <w:r>
        <w:rPr>
          <w:rStyle w:val="StrongEmphasis"/>
        </w:rPr>
        <w:t>Discovery:</w:t>
      </w:r>
      <w:r>
        <w:rPr/>
        <w:t xml:space="preserve"> Scans </w:t>
      </w:r>
      <w:r>
        <w:rPr>
          <w:rStyle w:val="SourceText"/>
        </w:rPr>
        <w:t>/home/user/Documents</w:t>
      </w:r>
      <w:r>
        <w:rPr/>
        <w:t xml:space="preserve"> and all subdirectories of </w:t>
      </w:r>
      <w:r>
        <w:rPr>
          <w:rStyle w:val="SourceText"/>
        </w:rPr>
        <w:t>/mnt/cifs</w:t>
      </w:r>
      <w:r>
        <w:rPr/>
        <w:t xml:space="preserve"> for files with the </w:t>
      </w:r>
      <w:r>
        <w:rPr>
          <w:rStyle w:val="SourceText"/>
        </w:rPr>
        <w:t>.docx</w:t>
      </w:r>
      <w:r>
        <w:rPr/>
        <w:t xml:space="preserve"> extension. </w:t>
      </w:r>
    </w:p>
    <w:p>
      <w:pPr>
        <w:pStyle w:val="TextBody"/>
        <w:numPr>
          <w:ilvl w:val="0"/>
          <w:numId w:val="1"/>
        </w:numPr>
        <w:tabs>
          <w:tab w:val="clear" w:pos="1134"/>
          <w:tab w:val="left" w:pos="2869" w:leader="none"/>
        </w:tabs>
        <w:bidi w:val="0"/>
        <w:spacing w:before="0" w:after="0"/>
        <w:ind w:start="2869" w:end="2160" w:hanging="283"/>
        <w:rPr/>
      </w:pPr>
      <w:r>
        <w:rPr>
          <w:rStyle w:val="StrongEmphasis"/>
        </w:rPr>
        <w:t>Encryption:</w:t>
      </w:r>
      <w:r>
        <w:rPr/>
        <w:t xml:space="preserve"> Encrypts each discovered file using </w:t>
      </w:r>
      <w:r>
        <w:rPr>
          <w:rStyle w:val="StrongEmphasis"/>
        </w:rPr>
        <w:t>OpenSSL AES-256-CBC</w:t>
      </w:r>
      <w:r>
        <w:rPr/>
        <w:t xml:space="preserve"> with a randomly generated key and initialization vector (IV). The original file is replaced with the encrypted version (original securely deleted using </w:t>
      </w:r>
      <w:r>
        <w:rPr>
          <w:rStyle w:val="SourceText"/>
        </w:rPr>
        <w:t>shred</w:t>
      </w:r>
      <w:r>
        <w:rPr/>
        <w:t xml:space="preserve">). </w:t>
      </w:r>
    </w:p>
    <w:p>
      <w:pPr>
        <w:pStyle w:val="TextBody"/>
        <w:numPr>
          <w:ilvl w:val="0"/>
          <w:numId w:val="1"/>
        </w:numPr>
        <w:tabs>
          <w:tab w:val="clear" w:pos="1134"/>
          <w:tab w:val="left" w:pos="2869" w:leader="none"/>
        </w:tabs>
        <w:bidi w:val="0"/>
        <w:spacing w:before="0" w:after="0"/>
        <w:ind w:start="2869" w:end="2160" w:hanging="283"/>
        <w:rPr/>
      </w:pPr>
      <w:r>
        <w:rPr>
          <w:rStyle w:val="StrongEmphasis"/>
        </w:rPr>
        <w:t>Key Management:</w:t>
      </w:r>
      <w:r>
        <w:rPr/>
        <w:t xml:space="preserve"> The encryption key and IV are concatenated, base64-encoded, and written to a hidden file (</w:t>
      </w:r>
      <w:r>
        <w:rPr>
          <w:rStyle w:val="SourceText"/>
        </w:rPr>
        <w:t>.key_{HOSTNAME}.enc</w:t>
      </w:r>
      <w:r>
        <w:rPr/>
        <w:t xml:space="preserve">) in each affected directory, encrypted with a hardcoded public key (for simulated recovery). </w:t>
      </w:r>
    </w:p>
    <w:p>
      <w:pPr>
        <w:pStyle w:val="TextBody"/>
        <w:numPr>
          <w:ilvl w:val="0"/>
          <w:numId w:val="1"/>
        </w:numPr>
        <w:tabs>
          <w:tab w:val="clear" w:pos="1134"/>
          <w:tab w:val="left" w:pos="2869" w:leader="none"/>
        </w:tabs>
        <w:bidi w:val="0"/>
        <w:ind w:start="2869" w:end="2160" w:hanging="283"/>
        <w:rPr/>
      </w:pPr>
      <w:r>
        <w:rPr>
          <w:rStyle w:val="StrongEmphasis"/>
        </w:rPr>
        <w:t>Ransom Note:</w:t>
      </w:r>
      <w:r>
        <w:rPr/>
        <w:t xml:space="preserve"> A file named </w:t>
      </w:r>
      <w:r>
        <w:rPr>
          <w:rStyle w:val="SourceText"/>
        </w:rPr>
        <w:t>README_RECOVER.html</w:t>
      </w:r>
      <w:r>
        <w:rPr/>
        <w:t xml:space="preserve"> is created in each directory where encryption occurred, containing instructions for simulated payment and file recovery. </w:t>
      </w:r>
    </w:p>
    <w:p>
      <w:pPr>
        <w:pStyle w:val="Heading2"/>
        <w:bidi w:val="0"/>
        <w:jc w:val="start"/>
        <w:rPr/>
      </w:pPr>
      <w:r>
        <w:rPr/>
        <w:t>3. Detailed Script Logic</w:t>
      </w:r>
    </w:p>
    <w:p>
      <w:pPr>
        <w:pStyle w:val="Heading3"/>
        <w:bidi w:val="0"/>
        <w:jc w:val="start"/>
        <w:rPr/>
      </w:pPr>
      <w:r>
        <w:rPr/>
        <w:t>3.1 Encryption Parameters</w:t>
      </w:r>
    </w:p>
    <w:tbl>
      <w:tblPr>
        <w:tblW w:w="11339" w:type="dxa"/>
        <w:jc w:val="start"/>
        <w:tblInd w:w="0" w:type="dxa"/>
        <w:tblLayout w:type="fixed"/>
        <w:tblCellMar>
          <w:top w:w="28" w:type="dxa"/>
          <w:start w:w="28" w:type="dxa"/>
          <w:bottom w:w="28" w:type="dxa"/>
          <w:end w:w="28" w:type="dxa"/>
        </w:tblCellMar>
      </w:tblPr>
      <w:tblGrid>
        <w:gridCol w:w="3281"/>
        <w:gridCol w:w="4571"/>
        <w:gridCol w:w="3487"/>
      </w:tblGrid>
      <w:tr>
        <w:trPr/>
        <w:tc>
          <w:tcPr>
            <w:tcW w:w="3281" w:type="dxa"/>
            <w:tcBorders/>
            <w:vAlign w:val="center"/>
          </w:tcPr>
          <w:p>
            <w:pPr>
              <w:pStyle w:val="TableHeading"/>
              <w:suppressLineNumbers/>
              <w:shd w:fill="2980B9" w:val="clear"/>
              <w:bidi w:val="0"/>
              <w:spacing w:before="0" w:after="160"/>
              <w:jc w:val="start"/>
              <w:rPr/>
            </w:pPr>
            <w:r>
              <w:rPr/>
              <w:t>Parameter</w:t>
            </w:r>
          </w:p>
        </w:tc>
        <w:tc>
          <w:tcPr>
            <w:tcW w:w="4571" w:type="dxa"/>
            <w:tcBorders/>
            <w:vAlign w:val="center"/>
          </w:tcPr>
          <w:p>
            <w:pPr>
              <w:pStyle w:val="TableHeading"/>
              <w:suppressLineNumbers/>
              <w:shd w:fill="2980B9" w:val="clear"/>
              <w:bidi w:val="0"/>
              <w:spacing w:before="0" w:after="160"/>
              <w:jc w:val="start"/>
              <w:rPr/>
            </w:pPr>
            <w:r>
              <w:rPr/>
              <w:t>Value</w:t>
            </w:r>
          </w:p>
        </w:tc>
        <w:tc>
          <w:tcPr>
            <w:tcW w:w="3487" w:type="dxa"/>
            <w:tcBorders/>
            <w:vAlign w:val="center"/>
          </w:tcPr>
          <w:p>
            <w:pPr>
              <w:pStyle w:val="TableHeading"/>
              <w:suppressLineNumbers/>
              <w:shd w:fill="2980B9" w:val="clear"/>
              <w:bidi w:val="0"/>
              <w:spacing w:before="0" w:after="160"/>
              <w:jc w:val="start"/>
              <w:rPr/>
            </w:pPr>
            <w:r>
              <w:rPr/>
              <w:t>Notes</w:t>
            </w:r>
          </w:p>
        </w:tc>
      </w:tr>
      <w:tr>
        <w:trPr/>
        <w:tc>
          <w:tcPr>
            <w:tcW w:w="3281" w:type="dxa"/>
            <w:tcBorders/>
            <w:vAlign w:val="center"/>
          </w:tcPr>
          <w:p>
            <w:pPr>
              <w:pStyle w:val="TableContents"/>
              <w:bidi w:val="0"/>
              <w:spacing w:before="0" w:after="160"/>
              <w:rPr/>
            </w:pPr>
            <w:r>
              <w:rPr/>
              <w:t>Cipher</w:t>
            </w:r>
          </w:p>
        </w:tc>
        <w:tc>
          <w:tcPr>
            <w:tcW w:w="4571" w:type="dxa"/>
            <w:tcBorders/>
            <w:vAlign w:val="center"/>
          </w:tcPr>
          <w:p>
            <w:pPr>
              <w:pStyle w:val="TableContents"/>
              <w:bidi w:val="0"/>
              <w:spacing w:before="0" w:after="160"/>
              <w:rPr/>
            </w:pPr>
            <w:r>
              <w:rPr/>
              <w:t>aes-256-cbc</w:t>
            </w:r>
          </w:p>
        </w:tc>
        <w:tc>
          <w:tcPr>
            <w:tcW w:w="3487" w:type="dxa"/>
            <w:tcBorders/>
            <w:vAlign w:val="center"/>
          </w:tcPr>
          <w:p>
            <w:pPr>
              <w:pStyle w:val="TableContents"/>
              <w:bidi w:val="0"/>
              <w:spacing w:before="0" w:after="160"/>
              <w:rPr/>
            </w:pPr>
            <w:r>
              <w:rPr/>
              <w:t>256-bit key, CBC mode</w:t>
            </w:r>
          </w:p>
        </w:tc>
      </w:tr>
      <w:tr>
        <w:trPr/>
        <w:tc>
          <w:tcPr>
            <w:tcW w:w="3281" w:type="dxa"/>
            <w:tcBorders/>
            <w:vAlign w:val="center"/>
          </w:tcPr>
          <w:p>
            <w:pPr>
              <w:pStyle w:val="TableContents"/>
              <w:bidi w:val="0"/>
              <w:spacing w:before="0" w:after="160"/>
              <w:rPr/>
            </w:pPr>
            <w:r>
              <w:rPr/>
              <w:t>Key derivation</w:t>
            </w:r>
          </w:p>
        </w:tc>
        <w:tc>
          <w:tcPr>
            <w:tcW w:w="4571" w:type="dxa"/>
            <w:tcBorders/>
            <w:vAlign w:val="center"/>
          </w:tcPr>
          <w:p>
            <w:pPr>
              <w:pStyle w:val="TableContents"/>
              <w:bidi w:val="0"/>
              <w:spacing w:before="0" w:after="160"/>
              <w:rPr/>
            </w:pPr>
            <w:r>
              <w:rPr/>
              <w:t>Random 256-bit (32 bytes)</w:t>
            </w:r>
          </w:p>
        </w:tc>
        <w:tc>
          <w:tcPr>
            <w:tcW w:w="3487" w:type="dxa"/>
            <w:tcBorders/>
            <w:vAlign w:val="center"/>
          </w:tcPr>
          <w:p>
            <w:pPr>
              <w:pStyle w:val="TableContents"/>
              <w:bidi w:val="0"/>
              <w:spacing w:before="0" w:after="160"/>
              <w:rPr/>
            </w:pPr>
            <w:r>
              <w:rPr/>
              <w:t xml:space="preserve">Generated via </w:t>
            </w:r>
            <w:r>
              <w:rPr>
                <w:rStyle w:val="SourceText"/>
              </w:rPr>
              <w:t>openssl rand -hex 32</w:t>
            </w:r>
          </w:p>
        </w:tc>
      </w:tr>
      <w:tr>
        <w:trPr/>
        <w:tc>
          <w:tcPr>
            <w:tcW w:w="3281" w:type="dxa"/>
            <w:tcBorders/>
            <w:vAlign w:val="center"/>
          </w:tcPr>
          <w:p>
            <w:pPr>
              <w:pStyle w:val="TableContents"/>
              <w:bidi w:val="0"/>
              <w:spacing w:before="0" w:after="160"/>
              <w:rPr/>
            </w:pPr>
            <w:r>
              <w:rPr/>
              <w:t>IV</w:t>
            </w:r>
          </w:p>
        </w:tc>
        <w:tc>
          <w:tcPr>
            <w:tcW w:w="4571" w:type="dxa"/>
            <w:tcBorders/>
            <w:vAlign w:val="center"/>
          </w:tcPr>
          <w:p>
            <w:pPr>
              <w:pStyle w:val="TableContents"/>
              <w:bidi w:val="0"/>
              <w:spacing w:before="0" w:after="160"/>
              <w:rPr/>
            </w:pPr>
            <w:r>
              <w:rPr/>
              <w:t>Random 128-bit (16 bytes)</w:t>
            </w:r>
          </w:p>
        </w:tc>
        <w:tc>
          <w:tcPr>
            <w:tcW w:w="3487" w:type="dxa"/>
            <w:tcBorders/>
            <w:vAlign w:val="center"/>
          </w:tcPr>
          <w:p>
            <w:pPr>
              <w:pStyle w:val="TableContents"/>
              <w:bidi w:val="0"/>
              <w:spacing w:before="0" w:after="160"/>
              <w:rPr/>
            </w:pPr>
            <w:r>
              <w:rPr/>
              <w:t xml:space="preserve">Generated via </w:t>
            </w:r>
            <w:r>
              <w:rPr>
                <w:rStyle w:val="SourceText"/>
              </w:rPr>
              <w:t>openssl rand -hex 16</w:t>
            </w:r>
          </w:p>
        </w:tc>
      </w:tr>
      <w:tr>
        <w:trPr/>
        <w:tc>
          <w:tcPr>
            <w:tcW w:w="3281" w:type="dxa"/>
            <w:tcBorders/>
            <w:vAlign w:val="center"/>
          </w:tcPr>
          <w:p>
            <w:pPr>
              <w:pStyle w:val="TableContents"/>
              <w:bidi w:val="0"/>
              <w:spacing w:before="0" w:after="160"/>
              <w:rPr/>
            </w:pPr>
            <w:r>
              <w:rPr/>
              <w:t>File naming</w:t>
            </w:r>
          </w:p>
        </w:tc>
        <w:tc>
          <w:tcPr>
            <w:tcW w:w="4571" w:type="dxa"/>
            <w:tcBorders/>
            <w:vAlign w:val="center"/>
          </w:tcPr>
          <w:p>
            <w:pPr>
              <w:pStyle w:val="TableContents"/>
              <w:bidi w:val="0"/>
              <w:spacing w:before="0" w:after="160"/>
              <w:rPr/>
            </w:pPr>
            <w:r>
              <w:rPr>
                <w:rStyle w:val="SourceText"/>
              </w:rPr>
              <w:t>original.docx.enc</w:t>
            </w:r>
          </w:p>
        </w:tc>
        <w:tc>
          <w:tcPr>
            <w:tcW w:w="3487" w:type="dxa"/>
            <w:tcBorders/>
            <w:vAlign w:val="center"/>
          </w:tcPr>
          <w:p>
            <w:pPr>
              <w:pStyle w:val="TableContents"/>
              <w:bidi w:val="0"/>
              <w:spacing w:before="0" w:after="160"/>
              <w:rPr/>
            </w:pPr>
            <w:r>
              <w:rPr/>
              <w:t>Original extension replaced with .enc</w:t>
            </w:r>
          </w:p>
        </w:tc>
      </w:tr>
      <w:tr>
        <w:trPr/>
        <w:tc>
          <w:tcPr>
            <w:tcW w:w="3281" w:type="dxa"/>
            <w:tcBorders/>
            <w:vAlign w:val="center"/>
          </w:tcPr>
          <w:p>
            <w:pPr>
              <w:pStyle w:val="TableContents"/>
              <w:bidi w:val="0"/>
              <w:spacing w:before="0" w:after="160"/>
              <w:rPr/>
            </w:pPr>
            <w:r>
              <w:rPr/>
              <w:t>Secure deletion</w:t>
            </w:r>
          </w:p>
        </w:tc>
        <w:tc>
          <w:tcPr>
            <w:tcW w:w="4571" w:type="dxa"/>
            <w:tcBorders/>
            <w:vAlign w:val="center"/>
          </w:tcPr>
          <w:p>
            <w:pPr>
              <w:pStyle w:val="TableContents"/>
              <w:bidi w:val="0"/>
              <w:spacing w:before="0" w:after="160"/>
              <w:rPr/>
            </w:pPr>
            <w:r>
              <w:rPr>
                <w:rStyle w:val="SourceText"/>
              </w:rPr>
              <w:t>shred -u</w:t>
            </w:r>
          </w:p>
        </w:tc>
        <w:tc>
          <w:tcPr>
            <w:tcW w:w="3487" w:type="dxa"/>
            <w:tcBorders/>
            <w:vAlign w:val="center"/>
          </w:tcPr>
          <w:p>
            <w:pPr>
              <w:pStyle w:val="TableContents"/>
              <w:bidi w:val="0"/>
              <w:spacing w:before="0" w:after="160"/>
              <w:rPr/>
            </w:pPr>
            <w:r>
              <w:rPr/>
              <w:t>Overwrites file before removal</w:t>
            </w:r>
          </w:p>
        </w:tc>
      </w:tr>
    </w:tbl>
    <w:p>
      <w:pPr>
        <w:pStyle w:val="Heading3"/>
        <w:bidi w:val="0"/>
        <w:jc w:val="start"/>
        <w:rPr/>
      </w:pPr>
      <w:r>
        <w:rPr/>
        <w:t>3.2 Automatic CIFS Share Discovery</w:t>
      </w:r>
    </w:p>
    <w:p>
      <w:pPr>
        <w:pStyle w:val="TextBody"/>
        <w:bidi w:val="0"/>
        <w:spacing w:before="0" w:after="160"/>
        <w:jc w:val="both"/>
        <w:rPr/>
      </w:pPr>
      <w:r>
        <w:rPr/>
        <w:t xml:space="preserve">The script automatically enumerates all mounted CIFS shares by parsing the output of </w:t>
      </w:r>
      <w:r>
        <w:rPr>
          <w:rStyle w:val="SourceText"/>
        </w:rPr>
        <w:t>mount -t cifs</w:t>
      </w:r>
      <w:r>
        <w:rPr/>
        <w:t xml:space="preserve">. For each mount point found under </w:t>
      </w:r>
      <w:r>
        <w:rPr>
          <w:rStyle w:val="SourceText"/>
        </w:rPr>
        <w:t>/mnt/cifs</w:t>
      </w:r>
      <w:r>
        <w:rPr/>
        <w:t xml:space="preserve">, it recursively searches for </w:t>
      </w:r>
      <w:r>
        <w:rPr>
          <w:rStyle w:val="SourceText"/>
        </w:rPr>
        <w:t>.docx</w:t>
      </w:r>
      <w:r>
        <w:rPr/>
        <w:t xml:space="preserve"> files. The script does </w:t>
      </w:r>
      <w:r>
        <w:rPr>
          <w:rStyle w:val="StrongEmphasis"/>
        </w:rPr>
        <w:t>not</w:t>
      </w:r>
      <w:r>
        <w:rPr/>
        <w:t xml:space="preserve"> require or request user permission before encrypting files on these shares — this is by design to simulate a worm-like propagation behavior common in real-world ransomware.</w:t>
      </w:r>
    </w:p>
    <w:p>
      <w:pPr>
        <w:pStyle w:val="TextBody"/>
        <w:bidi w:val="0"/>
        <w:spacing w:before="0" w:after="160"/>
        <w:jc w:val="both"/>
        <w:rPr/>
      </w:pPr>
      <w:r>
        <w:rPr/>
        <w:t>Key implementation snippet (pseudo-bash):</w:t>
      </w:r>
    </w:p>
    <w:p>
      <w:pPr>
        <w:pStyle w:val="TextBody"/>
        <w:bidi w:val="0"/>
        <w:spacing w:before="200" w:after="200"/>
        <w:ind w:start="200" w:end="200" w:hanging="0"/>
        <w:rPr>
          <w:rFonts w:ascii="Courier New;monospace" w:hAnsi="Courier New;monospace"/>
          <w:sz w:val="19"/>
          <w:bdr w:val="single" w:sz="2" w:space="8" w:color="BDC3C7"/>
          <w:shd w:fill="ECF0F1" w:val="clear"/>
        </w:rPr>
      </w:pPr>
      <w:r>
        <w:rPr>
          <w:rFonts w:ascii="Courier New;monospace" w:hAnsi="Courier New;monospace"/>
          <w:sz w:val="19"/>
          <w:bdr w:val="single" w:sz="2" w:space="8" w:color="BDC3C7"/>
          <w:shd w:fill="ECF0F1" w:val="clear"/>
        </w:rPr>
        <w:t>#!/bin/bash # Auto-discover CIFS mounts CIFS_MOUNTS=$(mount -t cifs | awk '{print $3}' | grep "^/mnt/cifs") for mount_point in $CIFS_MOUNTS; do find "$mount_point" -type f -name "*.docx" -print0 | while IFS= read -r -d '' file; do encrypt_file "$file" done done</w:t>
      </w:r>
    </w:p>
    <w:p>
      <w:pPr>
        <w:pStyle w:val="Heading2"/>
        <w:bidi w:val="0"/>
        <w:jc w:val="start"/>
        <w:rPr/>
      </w:pPr>
      <w:r>
        <w:rPr/>
        <w:t>4. Ransom Note Content</w:t>
      </w:r>
    </w:p>
    <w:p>
      <w:pPr>
        <w:pStyle w:val="TextBody"/>
        <w:bidi w:val="0"/>
        <w:spacing w:before="0" w:after="160"/>
        <w:jc w:val="both"/>
        <w:rPr/>
      </w:pPr>
      <w:r>
        <w:rPr/>
        <w:t>The ransom note (</w:t>
      </w:r>
      <w:r>
        <w:rPr>
          <w:rStyle w:val="SourceText"/>
        </w:rPr>
        <w:t>README_RECOVER.html</w:t>
      </w:r>
      <w:r>
        <w:rPr/>
        <w:t>) is written in HTML and contains the following sections:</w:t>
      </w:r>
    </w:p>
    <w:p>
      <w:pPr>
        <w:pStyle w:val="TextBody"/>
        <w:numPr>
          <w:ilvl w:val="0"/>
          <w:numId w:val="2"/>
        </w:numPr>
        <w:tabs>
          <w:tab w:val="clear" w:pos="1134"/>
          <w:tab w:val="left" w:pos="2869" w:leader="none"/>
        </w:tabs>
        <w:bidi w:val="0"/>
        <w:spacing w:before="0" w:after="0"/>
        <w:ind w:start="2869" w:end="2160" w:hanging="283"/>
        <w:rPr/>
      </w:pPr>
      <w:r>
        <w:rPr>
          <w:rStyle w:val="StrongEmphasis"/>
        </w:rPr>
        <w:t>Header:</w:t>
      </w:r>
      <w:r>
        <w:rPr/>
        <w:t xml:space="preserve"> "YOUR FILES HAVE BEEN ENCRYPTED" in red bold text. </w:t>
      </w:r>
    </w:p>
    <w:p>
      <w:pPr>
        <w:pStyle w:val="TextBody"/>
        <w:numPr>
          <w:ilvl w:val="0"/>
          <w:numId w:val="2"/>
        </w:numPr>
        <w:tabs>
          <w:tab w:val="clear" w:pos="1134"/>
          <w:tab w:val="left" w:pos="2869" w:leader="none"/>
        </w:tabs>
        <w:bidi w:val="0"/>
        <w:spacing w:before="0" w:after="0"/>
        <w:ind w:start="2869" w:end="2160" w:hanging="283"/>
        <w:rPr/>
      </w:pPr>
      <w:r>
        <w:rPr>
          <w:rStyle w:val="StrongEmphasis"/>
        </w:rPr>
        <w:t>Explanation:</w:t>
      </w:r>
      <w:r>
        <w:rPr/>
        <w:t xml:space="preserve"> A brief statement that all .docx files have been encrypted using AES-256-CBC. </w:t>
      </w:r>
    </w:p>
    <w:p>
      <w:pPr>
        <w:pStyle w:val="TextBody"/>
        <w:numPr>
          <w:ilvl w:val="0"/>
          <w:numId w:val="2"/>
        </w:numPr>
        <w:tabs>
          <w:tab w:val="clear" w:pos="1134"/>
          <w:tab w:val="left" w:pos="2869" w:leader="none"/>
        </w:tabs>
        <w:bidi w:val="0"/>
        <w:spacing w:before="0" w:after="0"/>
        <w:ind w:start="2869" w:end="2160" w:hanging="283"/>
        <w:rPr/>
      </w:pPr>
      <w:r>
        <w:rPr>
          <w:rStyle w:val="StrongEmphasis"/>
        </w:rPr>
        <w:t>Demand:</w:t>
      </w:r>
      <w:r>
        <w:rPr/>
        <w:t xml:space="preserve"> A simulated payment request of {PLACEHOLDER_AMOUNT} in cryptocurrency to address {PLACEHOLDER_WALLET}. </w:t>
      </w:r>
    </w:p>
    <w:p>
      <w:pPr>
        <w:pStyle w:val="TextBody"/>
        <w:numPr>
          <w:ilvl w:val="0"/>
          <w:numId w:val="2"/>
        </w:numPr>
        <w:tabs>
          <w:tab w:val="clear" w:pos="1134"/>
          <w:tab w:val="left" w:pos="2869" w:leader="none"/>
        </w:tabs>
        <w:bidi w:val="0"/>
        <w:spacing w:before="0" w:after="0"/>
        <w:ind w:start="2869" w:end="2160" w:hanging="283"/>
        <w:rPr/>
      </w:pPr>
      <w:r>
        <w:rPr>
          <w:rStyle w:val="StrongEmphasis"/>
        </w:rPr>
        <w:t>Recovery Instructions:</w:t>
      </w:r>
      <w:r>
        <w:rPr/>
        <w:t xml:space="preserve"> Steps to contact the attacker via a Tor-based chat portal (simulated). </w:t>
      </w:r>
    </w:p>
    <w:p>
      <w:pPr>
        <w:pStyle w:val="TextBody"/>
        <w:numPr>
          <w:ilvl w:val="0"/>
          <w:numId w:val="2"/>
        </w:numPr>
        <w:tabs>
          <w:tab w:val="clear" w:pos="1134"/>
          <w:tab w:val="left" w:pos="2869" w:leader="none"/>
        </w:tabs>
        <w:bidi w:val="0"/>
        <w:spacing w:before="0" w:after="0"/>
        <w:ind w:start="2869" w:end="2160" w:hanging="283"/>
        <w:rPr/>
      </w:pPr>
      <w:r>
        <w:rPr>
          <w:rStyle w:val="StrongEmphasis"/>
        </w:rPr>
        <w:t>Threats:</w:t>
      </w:r>
      <w:r>
        <w:rPr/>
        <w:t xml:space="preserve"> Warning that decryption key will be destroyed after {PLACEHOLDER_HOURS} hours. </w:t>
      </w:r>
    </w:p>
    <w:p>
      <w:pPr>
        <w:pStyle w:val="TextBody"/>
        <w:numPr>
          <w:ilvl w:val="0"/>
          <w:numId w:val="2"/>
        </w:numPr>
        <w:tabs>
          <w:tab w:val="clear" w:pos="1134"/>
          <w:tab w:val="left" w:pos="2869" w:leader="none"/>
        </w:tabs>
        <w:bidi w:val="0"/>
        <w:ind w:start="2869" w:end="2160" w:hanging="283"/>
        <w:rPr/>
      </w:pPr>
      <w:r>
        <w:rPr>
          <w:rStyle w:val="StrongEmphasis"/>
        </w:rPr>
        <w:t>Unique Identifier:</w:t>
      </w:r>
      <w:r>
        <w:rPr/>
        <w:t xml:space="preserve"> Each note includes a unique victim ID: </w:t>
      </w:r>
      <w:r>
        <w:rPr>
          <w:rStyle w:val="SourceText"/>
        </w:rPr>
        <w:t>VICTIM-{PLACEHOLDER_VICTIM_ID}</w:t>
      </w:r>
      <w:r>
        <w:rPr/>
        <w:t xml:space="preserve">. </w:t>
      </w:r>
    </w:p>
    <w:p>
      <w:pPr>
        <w:pStyle w:val="Heading2"/>
        <w:bidi w:val="0"/>
        <w:jc w:val="start"/>
        <w:rPr/>
      </w:pPr>
      <w:r>
        <w:rPr/>
        <w:t>5. Testing &amp; Validation Checklist</w:t>
      </w:r>
    </w:p>
    <w:tbl>
      <w:tblPr>
        <w:tblW w:w="11339" w:type="dxa"/>
        <w:jc w:val="start"/>
        <w:tblInd w:w="0" w:type="dxa"/>
        <w:tblLayout w:type="fixed"/>
        <w:tblCellMar>
          <w:top w:w="28" w:type="dxa"/>
          <w:start w:w="28" w:type="dxa"/>
          <w:bottom w:w="28" w:type="dxa"/>
          <w:end w:w="28" w:type="dxa"/>
        </w:tblCellMar>
      </w:tblPr>
      <w:tblGrid>
        <w:gridCol w:w="3528"/>
        <w:gridCol w:w="3946"/>
        <w:gridCol w:w="3865"/>
      </w:tblGrid>
      <w:tr>
        <w:trPr/>
        <w:tc>
          <w:tcPr>
            <w:tcW w:w="3528" w:type="dxa"/>
            <w:tcBorders/>
            <w:vAlign w:val="center"/>
          </w:tcPr>
          <w:p>
            <w:pPr>
              <w:pStyle w:val="TableHeading"/>
              <w:suppressLineNumbers/>
              <w:shd w:fill="2980B9" w:val="clear"/>
              <w:bidi w:val="0"/>
              <w:spacing w:before="0" w:after="160"/>
              <w:jc w:val="start"/>
              <w:rPr/>
            </w:pPr>
            <w:r>
              <w:rPr/>
              <w:t>Test Case</w:t>
            </w:r>
          </w:p>
        </w:tc>
        <w:tc>
          <w:tcPr>
            <w:tcW w:w="3946" w:type="dxa"/>
            <w:tcBorders/>
            <w:vAlign w:val="center"/>
          </w:tcPr>
          <w:p>
            <w:pPr>
              <w:pStyle w:val="TableHeading"/>
              <w:suppressLineNumbers/>
              <w:shd w:fill="2980B9" w:val="clear"/>
              <w:bidi w:val="0"/>
              <w:spacing w:before="0" w:after="160"/>
              <w:jc w:val="start"/>
              <w:rPr/>
            </w:pPr>
            <w:r>
              <w:rPr/>
              <w:t>Expected Result</w:t>
            </w:r>
          </w:p>
        </w:tc>
        <w:tc>
          <w:tcPr>
            <w:tcW w:w="3865" w:type="dxa"/>
            <w:tcBorders/>
            <w:vAlign w:val="center"/>
          </w:tcPr>
          <w:p>
            <w:pPr>
              <w:pStyle w:val="TableHeading"/>
              <w:suppressLineNumbers/>
              <w:shd w:fill="2980B9" w:val="clear"/>
              <w:bidi w:val="0"/>
              <w:spacing w:before="0" w:after="160"/>
              <w:jc w:val="start"/>
              <w:rPr/>
            </w:pPr>
            <w:r>
              <w:rPr/>
              <w:t>Status</w:t>
            </w:r>
          </w:p>
        </w:tc>
      </w:tr>
      <w:tr>
        <w:trPr/>
        <w:tc>
          <w:tcPr>
            <w:tcW w:w="3528" w:type="dxa"/>
            <w:tcBorders/>
            <w:vAlign w:val="center"/>
          </w:tcPr>
          <w:p>
            <w:pPr>
              <w:pStyle w:val="TableContents"/>
              <w:bidi w:val="0"/>
              <w:spacing w:before="0" w:after="160"/>
              <w:rPr/>
            </w:pPr>
            <w:r>
              <w:rPr/>
              <w:t>Encrypt file in /home/user/Documents</w:t>
            </w:r>
          </w:p>
        </w:tc>
        <w:tc>
          <w:tcPr>
            <w:tcW w:w="3946" w:type="dxa"/>
            <w:tcBorders/>
            <w:vAlign w:val="center"/>
          </w:tcPr>
          <w:p>
            <w:pPr>
              <w:pStyle w:val="TableContents"/>
              <w:bidi w:val="0"/>
              <w:spacing w:before="0" w:after="160"/>
              <w:rPr/>
            </w:pPr>
            <w:r>
              <w:rPr/>
              <w:t>File replaced with .enc, original shredded</w:t>
            </w:r>
          </w:p>
        </w:tc>
        <w:tc>
          <w:tcPr>
            <w:tcW w:w="3865" w:type="dxa"/>
            <w:tcBorders/>
            <w:vAlign w:val="center"/>
          </w:tcPr>
          <w:p>
            <w:pPr>
              <w:pStyle w:val="TableContents"/>
              <w:bidi w:val="0"/>
              <w:spacing w:before="0" w:after="160"/>
              <w:rPr/>
            </w:pPr>
            <w:r>
              <w:rPr/>
              <w:t>{PLACEHOLDER_STATUS}</w:t>
            </w:r>
          </w:p>
        </w:tc>
      </w:tr>
      <w:tr>
        <w:trPr/>
        <w:tc>
          <w:tcPr>
            <w:tcW w:w="3528" w:type="dxa"/>
            <w:tcBorders/>
            <w:vAlign w:val="center"/>
          </w:tcPr>
          <w:p>
            <w:pPr>
              <w:pStyle w:val="TableContents"/>
              <w:bidi w:val="0"/>
              <w:spacing w:before="0" w:after="160"/>
              <w:rPr/>
            </w:pPr>
            <w:r>
              <w:rPr/>
              <w:t>Encrypt file on CIFS share</w:t>
            </w:r>
          </w:p>
        </w:tc>
        <w:tc>
          <w:tcPr>
            <w:tcW w:w="3946" w:type="dxa"/>
            <w:tcBorders/>
            <w:vAlign w:val="center"/>
          </w:tcPr>
          <w:p>
            <w:pPr>
              <w:pStyle w:val="TableContents"/>
              <w:bidi w:val="0"/>
              <w:spacing w:before="0" w:after="160"/>
              <w:rPr/>
            </w:pPr>
            <w:r>
              <w:rPr/>
              <w:t>File encrypted without interactive prompt</w:t>
            </w:r>
          </w:p>
        </w:tc>
        <w:tc>
          <w:tcPr>
            <w:tcW w:w="3865" w:type="dxa"/>
            <w:tcBorders/>
            <w:vAlign w:val="center"/>
          </w:tcPr>
          <w:p>
            <w:pPr>
              <w:pStyle w:val="TableContents"/>
              <w:bidi w:val="0"/>
              <w:spacing w:before="0" w:after="160"/>
              <w:rPr/>
            </w:pPr>
            <w:r>
              <w:rPr/>
              <w:t>{PLACEHOLDER_STATUS}</w:t>
            </w:r>
          </w:p>
        </w:tc>
      </w:tr>
      <w:tr>
        <w:trPr/>
        <w:tc>
          <w:tcPr>
            <w:tcW w:w="3528" w:type="dxa"/>
            <w:tcBorders/>
            <w:vAlign w:val="center"/>
          </w:tcPr>
          <w:p>
            <w:pPr>
              <w:pStyle w:val="TableContents"/>
              <w:bidi w:val="0"/>
              <w:spacing w:before="0" w:after="160"/>
              <w:rPr/>
            </w:pPr>
            <w:r>
              <w:rPr/>
              <w:t>Ransom note creation</w:t>
            </w:r>
          </w:p>
        </w:tc>
        <w:tc>
          <w:tcPr>
            <w:tcW w:w="3946" w:type="dxa"/>
            <w:tcBorders/>
            <w:vAlign w:val="center"/>
          </w:tcPr>
          <w:p>
            <w:pPr>
              <w:pStyle w:val="TableContents"/>
              <w:bidi w:val="0"/>
              <w:spacing w:before="0" w:after="160"/>
              <w:rPr/>
            </w:pPr>
            <w:r>
              <w:rPr/>
              <w:t>README_RECOVER.html appears in each affected directory</w:t>
            </w:r>
          </w:p>
        </w:tc>
        <w:tc>
          <w:tcPr>
            <w:tcW w:w="3865" w:type="dxa"/>
            <w:tcBorders/>
            <w:vAlign w:val="center"/>
          </w:tcPr>
          <w:p>
            <w:pPr>
              <w:pStyle w:val="TableContents"/>
              <w:bidi w:val="0"/>
              <w:spacing w:before="0" w:after="160"/>
              <w:rPr/>
            </w:pPr>
            <w:r>
              <w:rPr/>
              <w:t>{PLACEHOLDER_STATUS}</w:t>
            </w:r>
          </w:p>
        </w:tc>
      </w:tr>
      <w:tr>
        <w:trPr/>
        <w:tc>
          <w:tcPr>
            <w:tcW w:w="3528" w:type="dxa"/>
            <w:tcBorders/>
            <w:vAlign w:val="center"/>
          </w:tcPr>
          <w:p>
            <w:pPr>
              <w:pStyle w:val="TableContents"/>
              <w:bidi w:val="0"/>
              <w:spacing w:before="0" w:after="160"/>
              <w:rPr/>
            </w:pPr>
            <w:r>
              <w:rPr/>
              <w:t>Key file generation</w:t>
            </w:r>
          </w:p>
        </w:tc>
        <w:tc>
          <w:tcPr>
            <w:tcW w:w="3946" w:type="dxa"/>
            <w:tcBorders/>
            <w:vAlign w:val="center"/>
          </w:tcPr>
          <w:p>
            <w:pPr>
              <w:pStyle w:val="TableContents"/>
              <w:bidi w:val="0"/>
              <w:spacing w:before="0" w:after="160"/>
              <w:rPr/>
            </w:pPr>
            <w:r>
              <w:rPr/>
              <w:t>.key_{hostname}.enc present, encrypted with public key</w:t>
            </w:r>
          </w:p>
        </w:tc>
        <w:tc>
          <w:tcPr>
            <w:tcW w:w="3865" w:type="dxa"/>
            <w:tcBorders/>
            <w:vAlign w:val="center"/>
          </w:tcPr>
          <w:p>
            <w:pPr>
              <w:pStyle w:val="TableContents"/>
              <w:bidi w:val="0"/>
              <w:spacing w:before="0" w:after="160"/>
              <w:rPr/>
            </w:pPr>
            <w:r>
              <w:rPr/>
              <w:t>{PLACEHOLDER_STATUS}</w:t>
            </w:r>
          </w:p>
        </w:tc>
      </w:tr>
      <w:tr>
        <w:trPr/>
        <w:tc>
          <w:tcPr>
            <w:tcW w:w="3528" w:type="dxa"/>
            <w:tcBorders/>
            <w:vAlign w:val="center"/>
          </w:tcPr>
          <w:p>
            <w:pPr>
              <w:pStyle w:val="TableContents"/>
              <w:bidi w:val="0"/>
              <w:spacing w:before="0" w:after="160"/>
              <w:rPr/>
            </w:pPr>
            <w:r>
              <w:rPr/>
              <w:t>Non-.docx files untouched</w:t>
            </w:r>
          </w:p>
        </w:tc>
        <w:tc>
          <w:tcPr>
            <w:tcW w:w="3946" w:type="dxa"/>
            <w:tcBorders/>
            <w:vAlign w:val="center"/>
          </w:tcPr>
          <w:p>
            <w:pPr>
              <w:pStyle w:val="TableContents"/>
              <w:bidi w:val="0"/>
              <w:spacing w:before="0" w:after="160"/>
              <w:rPr/>
            </w:pPr>
            <w:r>
              <w:rPr/>
              <w:t>Other file types remain unmodified</w:t>
            </w:r>
          </w:p>
        </w:tc>
        <w:tc>
          <w:tcPr>
            <w:tcW w:w="3865" w:type="dxa"/>
            <w:tcBorders/>
            <w:vAlign w:val="center"/>
          </w:tcPr>
          <w:p>
            <w:pPr>
              <w:pStyle w:val="TableContents"/>
              <w:bidi w:val="0"/>
              <w:spacing w:before="0" w:after="160"/>
              <w:rPr/>
            </w:pPr>
            <w:r>
              <w:rPr/>
              <w:t>{PLACEHOLDER_STATUS}</w:t>
            </w:r>
          </w:p>
        </w:tc>
      </w:tr>
    </w:tbl>
    <w:p>
      <w:pPr>
        <w:pStyle w:val="Heading2"/>
        <w:bidi w:val="0"/>
        <w:jc w:val="start"/>
        <w:rPr/>
      </w:pPr>
      <w:r>
        <w:rPr/>
        <w:t>6. Operational Security Considerations</w:t>
      </w:r>
    </w:p>
    <w:p>
      <w:pPr>
        <w:pStyle w:val="TextBody"/>
        <w:bidi w:val="0"/>
        <w:spacing w:before="0" w:after="160"/>
        <w:jc w:val="both"/>
        <w:rPr/>
      </w:pPr>
      <w:r>
        <w:rPr/>
        <w:t>During execution, the script implements the following opsec measures to avoid premature detection:</w:t>
      </w:r>
    </w:p>
    <w:p>
      <w:pPr>
        <w:pStyle w:val="TextBody"/>
        <w:numPr>
          <w:ilvl w:val="0"/>
          <w:numId w:val="3"/>
        </w:numPr>
        <w:tabs>
          <w:tab w:val="clear" w:pos="1134"/>
          <w:tab w:val="left" w:pos="2869" w:leader="none"/>
        </w:tabs>
        <w:bidi w:val="0"/>
        <w:spacing w:before="0" w:after="0"/>
        <w:ind w:start="2869" w:end="2160" w:hanging="283"/>
        <w:rPr/>
      </w:pPr>
      <w:r>
        <w:rPr>
          <w:rStyle w:val="StrongEmphasis"/>
        </w:rPr>
        <w:t>No logging:</w:t>
      </w:r>
      <w:r>
        <w:rPr/>
        <w:t xml:space="preserve"> The script does not write any logs to disk. All output is suppressed (</w:t>
      </w:r>
      <w:r>
        <w:rPr>
          <w:rStyle w:val="SourceText"/>
        </w:rPr>
        <w:t>&gt;/dev/null 2&gt;&amp;1</w:t>
      </w:r>
      <w:r>
        <w:rPr/>
        <w:t xml:space="preserve">). </w:t>
      </w:r>
    </w:p>
    <w:p>
      <w:pPr>
        <w:pStyle w:val="TextBody"/>
        <w:numPr>
          <w:ilvl w:val="0"/>
          <w:numId w:val="3"/>
        </w:numPr>
        <w:tabs>
          <w:tab w:val="clear" w:pos="1134"/>
          <w:tab w:val="left" w:pos="2869" w:leader="none"/>
        </w:tabs>
        <w:bidi w:val="0"/>
        <w:spacing w:before="0" w:after="0"/>
        <w:ind w:start="2869" w:end="2160" w:hanging="283"/>
        <w:rPr/>
      </w:pPr>
      <w:r>
        <w:rPr>
          <w:rStyle w:val="StrongEmphasis"/>
        </w:rPr>
        <w:t>Randomized delays:</w:t>
      </w:r>
      <w:r>
        <w:rPr/>
        <w:t xml:space="preserve"> A random sleep of 0.5 to 3 seconds between file encryptions to avoid I/O spikes that might trigger monitoring alerts. </w:t>
      </w:r>
    </w:p>
    <w:p>
      <w:pPr>
        <w:pStyle w:val="TextBody"/>
        <w:numPr>
          <w:ilvl w:val="0"/>
          <w:numId w:val="3"/>
        </w:numPr>
        <w:tabs>
          <w:tab w:val="clear" w:pos="1134"/>
          <w:tab w:val="left" w:pos="2869" w:leader="none"/>
        </w:tabs>
        <w:bidi w:val="0"/>
        <w:spacing w:before="0" w:after="0"/>
        <w:ind w:start="2869" w:end="2160" w:hanging="283"/>
        <w:rPr/>
      </w:pPr>
      <w:r>
        <w:rPr>
          <w:rStyle w:val="StrongEmphasis"/>
        </w:rPr>
        <w:t>Process hiding:</w:t>
      </w:r>
      <w:r>
        <w:rPr/>
        <w:t xml:space="preserve"> The script renames its process to </w:t>
      </w:r>
      <w:r>
        <w:rPr>
          <w:rStyle w:val="SourceText"/>
        </w:rPr>
        <w:t>[kworker/0:0]</w:t>
      </w:r>
      <w:r>
        <w:rPr/>
        <w:t xml:space="preserve"> using </w:t>
      </w:r>
      <w:r>
        <w:rPr>
          <w:rStyle w:val="SourceText"/>
        </w:rPr>
        <w:t>exec -a</w:t>
      </w:r>
      <w:r>
        <w:rPr/>
        <w:t xml:space="preserve"> to blend with legitimate kernel threads. </w:t>
      </w:r>
    </w:p>
    <w:p>
      <w:pPr>
        <w:pStyle w:val="TextBody"/>
        <w:numPr>
          <w:ilvl w:val="0"/>
          <w:numId w:val="3"/>
        </w:numPr>
        <w:tabs>
          <w:tab w:val="clear" w:pos="1134"/>
          <w:tab w:val="left" w:pos="2869" w:leader="none"/>
        </w:tabs>
        <w:bidi w:val="0"/>
        <w:ind w:start="2869" w:end="2160" w:hanging="283"/>
        <w:rPr/>
      </w:pPr>
      <w:r>
        <w:rPr>
          <w:rStyle w:val="StrongEmphasis"/>
        </w:rPr>
        <w:t>Persistence:</w:t>
      </w:r>
      <w:r>
        <w:rPr/>
        <w:t xml:space="preserve"> (Optional) A cron job can be installed to re-encrypt any restored files after 24 hours. This is disabled by default in the evaluation version. </w:t>
      </w:r>
    </w:p>
    <w:p>
      <w:pPr>
        <w:pStyle w:val="Heading2"/>
        <w:bidi w:val="0"/>
        <w:jc w:val="start"/>
        <w:rPr/>
      </w:pPr>
      <w:r>
        <w:rPr/>
        <w:t>7. Recovery Procedure (for Test Controllers)</w:t>
      </w:r>
    </w:p>
    <w:p>
      <w:pPr>
        <w:pStyle w:val="TextBody"/>
        <w:bidi w:val="0"/>
        <w:spacing w:before="0" w:after="160"/>
        <w:jc w:val="both"/>
        <w:rPr/>
      </w:pPr>
      <w:r>
        <w:rPr/>
        <w:t>To reverse the encryption during the evaluation, the following steps are required:</w:t>
      </w:r>
    </w:p>
    <w:p>
      <w:pPr>
        <w:pStyle w:val="TextBody"/>
        <w:numPr>
          <w:ilvl w:val="0"/>
          <w:numId w:val="4"/>
        </w:numPr>
        <w:tabs>
          <w:tab w:val="clear" w:pos="1134"/>
          <w:tab w:val="left" w:pos="2869" w:leader="none"/>
        </w:tabs>
        <w:bidi w:val="0"/>
        <w:spacing w:before="0" w:after="0"/>
        <w:ind w:start="2869" w:end="2160" w:hanging="283"/>
        <w:rPr/>
      </w:pPr>
      <w:r>
        <w:rPr/>
        <w:t xml:space="preserve">Locate the </w:t>
      </w:r>
      <w:r>
        <w:rPr>
          <w:rStyle w:val="SourceText"/>
        </w:rPr>
        <w:t>.key_{HOSTNAME}.enc</w:t>
      </w:r>
      <w:r>
        <w:rPr/>
        <w:t xml:space="preserve"> file in the affected directory. </w:t>
      </w:r>
    </w:p>
    <w:p>
      <w:pPr>
        <w:pStyle w:val="TextBody"/>
        <w:numPr>
          <w:ilvl w:val="0"/>
          <w:numId w:val="4"/>
        </w:numPr>
        <w:tabs>
          <w:tab w:val="clear" w:pos="1134"/>
          <w:tab w:val="left" w:pos="2869" w:leader="none"/>
        </w:tabs>
        <w:bidi w:val="0"/>
        <w:spacing w:before="0" w:after="0"/>
        <w:ind w:start="2869" w:end="2160" w:hanging="283"/>
        <w:rPr/>
      </w:pPr>
      <w:r>
        <w:rPr/>
        <w:t xml:space="preserve">Decrypt it using the corresponding private key: </w:t>
      </w:r>
      <w:r>
        <w:rPr>
          <w:rStyle w:val="SourceText"/>
        </w:rPr>
        <w:t>openssl rsautl -decrypt -inkey private.pem -in .key_*.enc -out key.bin</w:t>
      </w:r>
      <w:r>
        <w:rPr/>
        <w:t xml:space="preserve"> </w:t>
      </w:r>
    </w:p>
    <w:p>
      <w:pPr>
        <w:pStyle w:val="TextBody"/>
        <w:numPr>
          <w:ilvl w:val="0"/>
          <w:numId w:val="4"/>
        </w:numPr>
        <w:tabs>
          <w:tab w:val="clear" w:pos="1134"/>
          <w:tab w:val="left" w:pos="2869" w:leader="none"/>
        </w:tabs>
        <w:bidi w:val="0"/>
        <w:spacing w:before="0" w:after="0"/>
        <w:ind w:start="2869" w:end="2160" w:hanging="283"/>
        <w:rPr/>
      </w:pPr>
      <w:r>
        <w:rPr/>
        <w:t xml:space="preserve">Parse the key.bin (first 32 bytes = key, next 16 bytes = IV). </w:t>
      </w:r>
    </w:p>
    <w:p>
      <w:pPr>
        <w:pStyle w:val="TextBody"/>
        <w:numPr>
          <w:ilvl w:val="0"/>
          <w:numId w:val="4"/>
        </w:numPr>
        <w:tabs>
          <w:tab w:val="clear" w:pos="1134"/>
          <w:tab w:val="left" w:pos="2869" w:leader="none"/>
        </w:tabs>
        <w:bidi w:val="0"/>
        <w:ind w:start="2869" w:end="2160" w:hanging="283"/>
        <w:rPr/>
      </w:pPr>
      <w:r>
        <w:rPr/>
        <w:t xml:space="preserve">Decrypt each .enc file: </w:t>
      </w:r>
      <w:r>
        <w:rPr>
          <w:rStyle w:val="SourceText"/>
        </w:rPr>
        <w:t>openssl enc -d -aes-256-cbc -K &lt;key_hex&gt; -iv &lt;iv_hex&gt; -in file.docx.enc -out file.docx</w:t>
      </w:r>
      <w:r>
        <w:rPr/>
        <w:t xml:space="preserve"> </w:t>
      </w:r>
    </w:p>
    <w:p>
      <w:pPr>
        <w:pStyle w:val="TextBody"/>
        <w:bidi w:val="0"/>
        <w:rPr/>
      </w:pPr>
      <w:r>
        <w:rPr>
          <w:rStyle w:val="Emphasis"/>
        </w:rPr>
        <w:t>Note: In a real exercise, the private key would be escrowed with the evaluation coordinator.</w:t>
      </w:r>
    </w:p>
    <w:p>
      <w:pPr>
        <w:pStyle w:val="Heading2"/>
        <w:bidi w:val="0"/>
        <w:jc w:val="start"/>
        <w:rPr/>
      </w:pPr>
      <w:r>
        <w:rPr/>
        <w:t>8. Dependencies</w:t>
      </w:r>
    </w:p>
    <w:p>
      <w:pPr>
        <w:pStyle w:val="TextBody"/>
        <w:numPr>
          <w:ilvl w:val="0"/>
          <w:numId w:val="5"/>
        </w:numPr>
        <w:tabs>
          <w:tab w:val="clear" w:pos="1134"/>
          <w:tab w:val="left" w:pos="2869" w:leader="none"/>
        </w:tabs>
        <w:bidi w:val="0"/>
        <w:spacing w:before="0" w:after="0"/>
        <w:ind w:start="2869" w:end="2160" w:hanging="283"/>
        <w:rPr/>
      </w:pPr>
      <w:r>
        <w:rPr/>
        <w:t xml:space="preserve">OpenSSL 1.1.1 or later (for AES-256-CBC support) </w:t>
      </w:r>
    </w:p>
    <w:p>
      <w:pPr>
        <w:pStyle w:val="TextBody"/>
        <w:numPr>
          <w:ilvl w:val="0"/>
          <w:numId w:val="5"/>
        </w:numPr>
        <w:tabs>
          <w:tab w:val="clear" w:pos="1134"/>
          <w:tab w:val="left" w:pos="2869" w:leader="none"/>
        </w:tabs>
        <w:bidi w:val="0"/>
        <w:spacing w:before="0" w:after="0"/>
        <w:ind w:start="2869" w:end="2160" w:hanging="283"/>
        <w:rPr/>
      </w:pPr>
      <w:r>
        <w:rPr/>
        <w:t xml:space="preserve">Bash 4.0+ (for associative arrays and </w:t>
      </w:r>
      <w:r>
        <w:rPr>
          <w:rStyle w:val="SourceText"/>
        </w:rPr>
        <w:t>read -d ''</w:t>
      </w:r>
      <w:r>
        <w:rPr/>
        <w:t xml:space="preserve">) </w:t>
      </w:r>
    </w:p>
    <w:p>
      <w:pPr>
        <w:pStyle w:val="TextBody"/>
        <w:numPr>
          <w:ilvl w:val="0"/>
          <w:numId w:val="5"/>
        </w:numPr>
        <w:tabs>
          <w:tab w:val="clear" w:pos="1134"/>
          <w:tab w:val="left" w:pos="2869" w:leader="none"/>
        </w:tabs>
        <w:bidi w:val="0"/>
        <w:spacing w:before="0" w:after="0"/>
        <w:ind w:start="2869" w:end="2160" w:hanging="283"/>
        <w:rPr/>
      </w:pPr>
      <w:r>
        <w:rPr/>
        <w:t>Coreutils (</w:t>
      </w:r>
      <w:r>
        <w:rPr>
          <w:rStyle w:val="SourceText"/>
        </w:rPr>
        <w:t>shred</w:t>
      </w:r>
      <w:r>
        <w:rPr/>
        <w:t xml:space="preserve">, </w:t>
      </w:r>
      <w:r>
        <w:rPr>
          <w:rStyle w:val="SourceText"/>
        </w:rPr>
        <w:t>find</w:t>
      </w:r>
      <w:r>
        <w:rPr/>
        <w:t xml:space="preserve">, </w:t>
      </w:r>
      <w:r>
        <w:rPr>
          <w:rStyle w:val="SourceText"/>
        </w:rPr>
        <w:t>mount</w:t>
      </w:r>
      <w:r>
        <w:rPr/>
        <w:t xml:space="preserve">) </w:t>
      </w:r>
    </w:p>
    <w:p>
      <w:pPr>
        <w:pStyle w:val="TextBody"/>
        <w:numPr>
          <w:ilvl w:val="0"/>
          <w:numId w:val="5"/>
        </w:numPr>
        <w:tabs>
          <w:tab w:val="clear" w:pos="1134"/>
          <w:tab w:val="left" w:pos="2869" w:leader="none"/>
        </w:tabs>
        <w:bidi w:val="0"/>
        <w:ind w:start="2869" w:end="2160" w:hanging="283"/>
        <w:rPr/>
      </w:pPr>
      <w:r>
        <w:rPr/>
        <w:t xml:space="preserve">Public/private RSA key pair (2048-bit) for key encryption </w:t>
      </w:r>
    </w:p>
    <w:p>
      <w:pPr>
        <w:pStyle w:val="Heading2"/>
        <w:bidi w:val="0"/>
        <w:jc w:val="start"/>
        <w:rPr/>
      </w:pPr>
      <w:r>
        <w:rPr/>
        <w:t>9. Placeholder Configuration Summary</w:t>
      </w:r>
    </w:p>
    <w:tbl>
      <w:tblPr>
        <w:tblW w:w="13263" w:type="dxa"/>
        <w:jc w:val="start"/>
        <w:tblInd w:w="0" w:type="dxa"/>
        <w:tblLayout w:type="fixed"/>
        <w:tblCellMar>
          <w:top w:w="28" w:type="dxa"/>
          <w:start w:w="28" w:type="dxa"/>
          <w:bottom w:w="28" w:type="dxa"/>
          <w:end w:w="28" w:type="dxa"/>
        </w:tblCellMar>
      </w:tblPr>
      <w:tblGrid>
        <w:gridCol w:w="3766"/>
        <w:gridCol w:w="3346"/>
        <w:gridCol w:w="6151"/>
      </w:tblGrid>
      <w:tr>
        <w:trPr/>
        <w:tc>
          <w:tcPr>
            <w:tcW w:w="3766" w:type="dxa"/>
            <w:tcBorders/>
            <w:vAlign w:val="center"/>
          </w:tcPr>
          <w:p>
            <w:pPr>
              <w:pStyle w:val="TableHeading"/>
              <w:suppressLineNumbers/>
              <w:shd w:fill="2980B9" w:val="clear"/>
              <w:bidi w:val="0"/>
              <w:spacing w:before="0" w:after="160"/>
              <w:jc w:val="start"/>
              <w:rPr/>
            </w:pPr>
            <w:r>
              <w:rPr/>
              <w:t>Placeholder</w:t>
            </w:r>
          </w:p>
        </w:tc>
        <w:tc>
          <w:tcPr>
            <w:tcW w:w="3346" w:type="dxa"/>
            <w:tcBorders/>
            <w:vAlign w:val="center"/>
          </w:tcPr>
          <w:p>
            <w:pPr>
              <w:pStyle w:val="TableHeading"/>
              <w:suppressLineNumbers/>
              <w:shd w:fill="2980B9" w:val="clear"/>
              <w:bidi w:val="0"/>
              <w:spacing w:before="0" w:after="160"/>
              <w:jc w:val="start"/>
              <w:rPr/>
            </w:pPr>
            <w:r>
              <w:rPr/>
              <w:t>Description</w:t>
            </w:r>
          </w:p>
        </w:tc>
        <w:tc>
          <w:tcPr>
            <w:tcW w:w="6151" w:type="dxa"/>
            <w:tcBorders/>
            <w:vAlign w:val="center"/>
          </w:tcPr>
          <w:p>
            <w:pPr>
              <w:pStyle w:val="TableHeading"/>
              <w:suppressLineNumbers/>
              <w:shd w:fill="2980B9" w:val="clear"/>
              <w:bidi w:val="0"/>
              <w:spacing w:before="0" w:after="160"/>
              <w:jc w:val="start"/>
              <w:rPr/>
            </w:pPr>
            <w:r>
              <w:rPr/>
              <w:t>Example Value</w:t>
            </w:r>
          </w:p>
        </w:tc>
      </w:tr>
      <w:tr>
        <w:trPr/>
        <w:tc>
          <w:tcPr>
            <w:tcW w:w="3766" w:type="dxa"/>
            <w:tcBorders/>
            <w:vAlign w:val="center"/>
          </w:tcPr>
          <w:p>
            <w:pPr>
              <w:pStyle w:val="TableContents"/>
              <w:bidi w:val="0"/>
              <w:spacing w:before="0" w:after="160"/>
              <w:rPr/>
            </w:pPr>
            <w:r>
              <w:rPr/>
              <w:t>{PLACEHOLDER_DATE}</w:t>
            </w:r>
          </w:p>
        </w:tc>
        <w:tc>
          <w:tcPr>
            <w:tcW w:w="3346" w:type="dxa"/>
            <w:tcBorders/>
            <w:vAlign w:val="center"/>
          </w:tcPr>
          <w:p>
            <w:pPr>
              <w:pStyle w:val="TableContents"/>
              <w:bidi w:val="0"/>
              <w:spacing w:before="0" w:after="160"/>
              <w:rPr/>
            </w:pPr>
            <w:r>
              <w:rPr/>
              <w:t>Date of evaluation</w:t>
            </w:r>
          </w:p>
        </w:tc>
        <w:tc>
          <w:tcPr>
            <w:tcW w:w="6151" w:type="dxa"/>
            <w:tcBorders/>
            <w:vAlign w:val="center"/>
          </w:tcPr>
          <w:p>
            <w:pPr>
              <w:pStyle w:val="TableContents"/>
              <w:bidi w:val="0"/>
              <w:spacing w:before="0" w:after="160"/>
              <w:rPr/>
            </w:pPr>
            <w:r>
              <w:rPr/>
              <w:t>2025-03-21</w:t>
            </w:r>
          </w:p>
        </w:tc>
      </w:tr>
      <w:tr>
        <w:trPr/>
        <w:tc>
          <w:tcPr>
            <w:tcW w:w="3766" w:type="dxa"/>
            <w:tcBorders/>
            <w:vAlign w:val="center"/>
          </w:tcPr>
          <w:p>
            <w:pPr>
              <w:pStyle w:val="TableContents"/>
              <w:bidi w:val="0"/>
              <w:spacing w:before="0" w:after="160"/>
              <w:rPr/>
            </w:pPr>
            <w:r>
              <w:rPr/>
              <w:t>{PLACEHOLDER_NAME}</w:t>
            </w:r>
          </w:p>
        </w:tc>
        <w:tc>
          <w:tcPr>
            <w:tcW w:w="3346" w:type="dxa"/>
            <w:tcBorders/>
            <w:vAlign w:val="center"/>
          </w:tcPr>
          <w:p>
            <w:pPr>
              <w:pStyle w:val="TableContents"/>
              <w:bidi w:val="0"/>
              <w:spacing w:before="0" w:after="160"/>
              <w:rPr/>
            </w:pPr>
            <w:r>
              <w:rPr/>
              <w:t>Evaluator name</w:t>
            </w:r>
          </w:p>
        </w:tc>
        <w:tc>
          <w:tcPr>
            <w:tcW w:w="6151" w:type="dxa"/>
            <w:tcBorders/>
            <w:vAlign w:val="center"/>
          </w:tcPr>
          <w:p>
            <w:pPr>
              <w:pStyle w:val="TableContents"/>
              <w:bidi w:val="0"/>
              <w:spacing w:before="0" w:after="160"/>
              <w:rPr/>
            </w:pPr>
            <w:r>
              <w:rPr/>
              <w:t>Jane Smith</w:t>
            </w:r>
          </w:p>
        </w:tc>
      </w:tr>
      <w:tr>
        <w:trPr/>
        <w:tc>
          <w:tcPr>
            <w:tcW w:w="3766" w:type="dxa"/>
            <w:tcBorders/>
            <w:vAlign w:val="center"/>
          </w:tcPr>
          <w:p>
            <w:pPr>
              <w:pStyle w:val="TableContents"/>
              <w:bidi w:val="0"/>
              <w:spacing w:before="0" w:after="160"/>
              <w:rPr/>
            </w:pPr>
            <w:r>
              <w:rPr/>
              <w:t>{PLACEHOLDER_AMOUNT}</w:t>
            </w:r>
          </w:p>
        </w:tc>
        <w:tc>
          <w:tcPr>
            <w:tcW w:w="3346" w:type="dxa"/>
            <w:tcBorders/>
            <w:vAlign w:val="center"/>
          </w:tcPr>
          <w:p>
            <w:pPr>
              <w:pStyle w:val="TableContents"/>
              <w:bidi w:val="0"/>
              <w:spacing w:before="0" w:after="160"/>
              <w:rPr/>
            </w:pPr>
            <w:r>
              <w:rPr/>
              <w:t>Simulated ransom amount</w:t>
            </w:r>
          </w:p>
        </w:tc>
        <w:tc>
          <w:tcPr>
            <w:tcW w:w="6151" w:type="dxa"/>
            <w:tcBorders/>
            <w:vAlign w:val="center"/>
          </w:tcPr>
          <w:p>
            <w:pPr>
              <w:pStyle w:val="TableContents"/>
              <w:bidi w:val="0"/>
              <w:spacing w:before="0" w:after="160"/>
              <w:rPr/>
            </w:pPr>
            <w:r>
              <w:rPr/>
              <w:t>0.5 BTC</w:t>
            </w:r>
          </w:p>
        </w:tc>
      </w:tr>
      <w:tr>
        <w:trPr/>
        <w:tc>
          <w:tcPr>
            <w:tcW w:w="3766" w:type="dxa"/>
            <w:tcBorders/>
            <w:vAlign w:val="center"/>
          </w:tcPr>
          <w:p>
            <w:pPr>
              <w:pStyle w:val="TableContents"/>
              <w:bidi w:val="0"/>
              <w:spacing w:before="0" w:after="160"/>
              <w:rPr/>
            </w:pPr>
            <w:r>
              <w:rPr/>
              <w:t>{PLACEHOLDER_WALLET}</w:t>
            </w:r>
          </w:p>
        </w:tc>
        <w:tc>
          <w:tcPr>
            <w:tcW w:w="3346" w:type="dxa"/>
            <w:tcBorders/>
            <w:vAlign w:val="center"/>
          </w:tcPr>
          <w:p>
            <w:pPr>
              <w:pStyle w:val="TableContents"/>
              <w:bidi w:val="0"/>
              <w:spacing w:before="0" w:after="160"/>
              <w:rPr/>
            </w:pPr>
            <w:r>
              <w:rPr/>
              <w:t>Simulated wallet address</w:t>
            </w:r>
          </w:p>
        </w:tc>
        <w:tc>
          <w:tcPr>
            <w:tcW w:w="6151" w:type="dxa"/>
            <w:tcBorders/>
            <w:vAlign w:val="center"/>
          </w:tcPr>
          <w:p>
            <w:pPr>
              <w:pStyle w:val="TableContents"/>
              <w:bidi w:val="0"/>
              <w:spacing w:before="0" w:after="160"/>
              <w:rPr/>
            </w:pPr>
            <w:r>
              <w:rPr/>
              <w:t>1A1zP1eP5QGefi2DMPTfTL5SLmv7DivfNa</w:t>
            </w:r>
          </w:p>
        </w:tc>
      </w:tr>
      <w:tr>
        <w:trPr/>
        <w:tc>
          <w:tcPr>
            <w:tcW w:w="3766" w:type="dxa"/>
            <w:tcBorders/>
            <w:vAlign w:val="center"/>
          </w:tcPr>
          <w:p>
            <w:pPr>
              <w:pStyle w:val="TableContents"/>
              <w:bidi w:val="0"/>
              <w:spacing w:before="0" w:after="160"/>
              <w:rPr/>
            </w:pPr>
            <w:r>
              <w:rPr/>
              <w:t>{PLACEHOLDER_HOURS}</w:t>
            </w:r>
          </w:p>
        </w:tc>
        <w:tc>
          <w:tcPr>
            <w:tcW w:w="3346" w:type="dxa"/>
            <w:tcBorders/>
            <w:vAlign w:val="center"/>
          </w:tcPr>
          <w:p>
            <w:pPr>
              <w:pStyle w:val="TableContents"/>
              <w:bidi w:val="0"/>
              <w:spacing w:before="0" w:after="160"/>
              <w:rPr/>
            </w:pPr>
            <w:r>
              <w:rPr/>
              <w:t>Countdown timer</w:t>
            </w:r>
          </w:p>
        </w:tc>
        <w:tc>
          <w:tcPr>
            <w:tcW w:w="6151" w:type="dxa"/>
            <w:tcBorders/>
            <w:vAlign w:val="center"/>
          </w:tcPr>
          <w:p>
            <w:pPr>
              <w:pStyle w:val="TableContents"/>
              <w:bidi w:val="0"/>
              <w:spacing w:before="0" w:after="160"/>
              <w:rPr/>
            </w:pPr>
            <w:r>
              <w:rPr/>
              <w:t>72</w:t>
            </w:r>
          </w:p>
        </w:tc>
      </w:tr>
      <w:tr>
        <w:trPr/>
        <w:tc>
          <w:tcPr>
            <w:tcW w:w="3766" w:type="dxa"/>
            <w:tcBorders/>
            <w:vAlign w:val="center"/>
          </w:tcPr>
          <w:p>
            <w:pPr>
              <w:pStyle w:val="TableContents"/>
              <w:bidi w:val="0"/>
              <w:spacing w:before="0" w:after="160"/>
              <w:rPr/>
            </w:pPr>
            <w:r>
              <w:rPr/>
              <w:t>{PLACEHOLDER_VICTIM_ID}</w:t>
            </w:r>
          </w:p>
        </w:tc>
        <w:tc>
          <w:tcPr>
            <w:tcW w:w="3346" w:type="dxa"/>
            <w:tcBorders/>
            <w:vAlign w:val="center"/>
          </w:tcPr>
          <w:p>
            <w:pPr>
              <w:pStyle w:val="TableContents"/>
              <w:bidi w:val="0"/>
              <w:spacing w:before="0" w:after="160"/>
              <w:rPr/>
            </w:pPr>
            <w:r>
              <w:rPr/>
              <w:t>Unique victim identifier</w:t>
            </w:r>
          </w:p>
        </w:tc>
        <w:tc>
          <w:tcPr>
            <w:tcW w:w="6151" w:type="dxa"/>
            <w:tcBorders/>
            <w:vAlign w:val="center"/>
          </w:tcPr>
          <w:p>
            <w:pPr>
              <w:pStyle w:val="TableContents"/>
              <w:bidi w:val="0"/>
              <w:spacing w:before="0" w:after="160"/>
              <w:rPr/>
            </w:pPr>
            <w:r>
              <w:rPr/>
              <w:t>VICTIM-8F3A2C</w:t>
            </w:r>
          </w:p>
        </w:tc>
      </w:tr>
      <w:tr>
        <w:trPr/>
        <w:tc>
          <w:tcPr>
            <w:tcW w:w="3766" w:type="dxa"/>
            <w:tcBorders/>
            <w:vAlign w:val="center"/>
          </w:tcPr>
          <w:p>
            <w:pPr>
              <w:pStyle w:val="TableContents"/>
              <w:bidi w:val="0"/>
              <w:spacing w:before="0" w:after="160"/>
              <w:rPr/>
            </w:pPr>
            <w:r>
              <w:rPr/>
              <w:t>{PLACEHOLDER_STATUS}</w:t>
            </w:r>
          </w:p>
        </w:tc>
        <w:tc>
          <w:tcPr>
            <w:tcW w:w="3346" w:type="dxa"/>
            <w:tcBorders/>
            <w:vAlign w:val="center"/>
          </w:tcPr>
          <w:p>
            <w:pPr>
              <w:pStyle w:val="TableContents"/>
              <w:bidi w:val="0"/>
              <w:spacing w:before="0" w:after="160"/>
              <w:rPr/>
            </w:pPr>
            <w:r>
              <w:rPr/>
              <w:t>Test result status</w:t>
            </w:r>
          </w:p>
        </w:tc>
        <w:tc>
          <w:tcPr>
            <w:tcW w:w="6151" w:type="dxa"/>
            <w:tcBorders/>
            <w:vAlign w:val="center"/>
          </w:tcPr>
          <w:p>
            <w:pPr>
              <w:pStyle w:val="TableContents"/>
              <w:bidi w:val="0"/>
              <w:spacing w:before="0" w:after="160"/>
              <w:rPr/>
            </w:pPr>
            <w:r>
              <w:rPr/>
              <w:t>PASS / FAIL / NOT TESTED</w:t>
            </w:r>
          </w:p>
        </w:tc>
      </w:tr>
    </w:tbl>
    <w:p>
      <w:pPr>
        <w:pStyle w:val="Heading2"/>
        <w:bidi w:val="0"/>
        <w:jc w:val="start"/>
        <w:rPr/>
      </w:pPr>
      <w:r>
        <w:rPr/>
        <w:t>10. Conclusion</w:t>
      </w:r>
    </w:p>
    <w:p>
      <w:pPr>
        <w:pStyle w:val="TextBody"/>
        <w:bidi w:val="0"/>
        <w:spacing w:before="0" w:after="160"/>
        <w:jc w:val="both"/>
        <w:rPr/>
      </w:pPr>
      <w:r>
        <w:rPr/>
        <w:t>This script provides a realistic simulation of modern ransomware behavior, specifically targeting document files on local storage and automatically discovered CIFS network shares. The evaluation team should deploy this script in a sandboxed environment, monitor detection by endpoint protection platforms (EPP), and test the effectiveness of backup restoration procedures. All artifacts (encrypted files, key files, ransom notes) must be fully removed after the evaluation concludes.</w:t>
      </w:r>
    </w:p>
    <w:p>
      <w:pPr>
        <w:pStyle w:val="TextBodyfooternote"/>
        <w:pBdr/>
        <w:bidi w:val="0"/>
        <w:spacing w:before="480" w:after="160"/>
        <w:rPr/>
      </w:pPr>
      <w:r>
        <w:rPr/>
        <w:t>Document generated by {PLACEHOLDER_NAME} on {PLACEHOLDER_DATE}. This document is the property of the Security Evaluation Team. Unauthorized distribution is prohibited.</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Arial"/>
    <w:charset w:val="01" w:characterSet="utf-8"/>
    <w:family w:val="auto"/>
    <w:pitch w:val="default"/>
  </w:font>
  <w:font w:name="Liberation Sans Unicode MS">
    <w:charset w:val="01" w:characterSet="utf-8"/>
    <w:family w:val="auto"/>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Courier New">
    <w:altName w:val="monospace"/>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before="2160" w:after="2160"/>
      <w:ind w:start="2160" w:end="2160" w:hanging="0"/>
    </w:pPr>
    <w:rPr>
      <w:rFonts w:ascii="Calibri;Arial;sans-serif" w:hAnsi="Calibri;Arial;sans-serif" w:eastAsia="Calibri;Arial;sans-serif" w:cs="Calibri;Arial;sans-serif"/>
      <w:color w:val="1A1A1A"/>
      <w:sz w:val="22"/>
      <w:szCs w:val="22"/>
      <w:lang w:val="en-US" w:eastAsia="zh-CN" w:bidi="hi-IN"/>
    </w:rPr>
  </w:style>
  <w:style w:type="paragraph" w:styleId="Heading1">
    <w:name w:val="Heading 1"/>
    <w:basedOn w:val="Heading"/>
    <w:next w:val="TextBody"/>
    <w:qFormat/>
    <w:pPr>
      <w:pBdr>
        <w:bottom w:val="single" w:sz="12" w:space="5" w:color="2980B9"/>
      </w:pBdr>
      <w:spacing w:before="480" w:after="283"/>
    </w:pPr>
    <w:rPr>
      <w:rFonts w:ascii="Liberation Sans Unicode MS" w:hAnsi="Liberation Sans Unicode MS"/>
      <w:b/>
      <w:bCs/>
      <w:color w:val="2C3E50"/>
      <w:sz w:val="40"/>
      <w:szCs w:val="40"/>
    </w:rPr>
  </w:style>
  <w:style w:type="paragraph" w:styleId="Heading2">
    <w:name w:val="Heading 2"/>
    <w:basedOn w:val="Heading"/>
    <w:next w:val="TextBody"/>
    <w:qFormat/>
    <w:pPr>
      <w:spacing w:before="360" w:after="120"/>
      <w:outlineLvl w:val="1"/>
    </w:pPr>
    <w:rPr>
      <w:rFonts w:ascii="Liberation Serif" w:hAnsi="Liberation Serif" w:eastAsia="DejaVu Sans" w:cs="Noto Sans Devanagari"/>
      <w:b/>
      <w:bCs/>
      <w:color w:val="34495E"/>
      <w:sz w:val="32"/>
      <w:szCs w:val="32"/>
    </w:rPr>
  </w:style>
  <w:style w:type="paragraph" w:styleId="Heading3">
    <w:name w:val="Heading 3"/>
    <w:basedOn w:val="Heading"/>
    <w:next w:val="TextBody"/>
    <w:qFormat/>
    <w:pPr>
      <w:spacing w:before="240" w:after="120"/>
      <w:outlineLvl w:val="2"/>
    </w:pPr>
    <w:rPr>
      <w:rFonts w:ascii="Liberation Serif" w:hAnsi="Liberation Serif" w:eastAsia="DejaVu Sans" w:cs="Noto Sans Devanagari"/>
      <w:b/>
      <w:bCs/>
      <w:color w:val="555555"/>
      <w:sz w:val="26"/>
      <w:szCs w:val="26"/>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trongEmphasis">
    <w:name w:val="Strong Emphasis"/>
    <w:qFormat/>
    <w:rPr>
      <w:b/>
      <w:bCs/>
    </w:rPr>
  </w:style>
  <w:style w:type="character" w:styleId="NumberingSymbols">
    <w:name w:val="Numbering Symbols"/>
    <w:qFormat/>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lear" w:pos="1134"/>
        <w:tab w:val="center" w:pos="6978" w:leader="none"/>
        <w:tab w:val="right" w:pos="11797" w:leader="none"/>
      </w:tabs>
    </w:pPr>
    <w:rPr/>
  </w:style>
  <w:style w:type="paragraph" w:styleId="Header">
    <w:name w:val="Header"/>
    <w:basedOn w:val="Normal"/>
    <w:pPr>
      <w:suppressLineNumbers/>
      <w:tabs>
        <w:tab w:val="clear" w:pos="1134"/>
        <w:tab w:val="center" w:pos="6978" w:leader="none"/>
        <w:tab w:val="right" w:pos="11797" w:leader="none"/>
      </w:tabs>
    </w:pPr>
    <w:rPr/>
  </w:style>
  <w:style w:type="paragraph" w:styleId="HeaderandFooter">
    <w:name w:val="Header and Footer"/>
    <w:basedOn w:val="Normal"/>
    <w:qFormat/>
    <w:pPr>
      <w:suppressLineNumbers/>
      <w:tabs>
        <w:tab w:val="clear" w:pos="1134"/>
        <w:tab w:val="center" w:pos="6979" w:leader="none"/>
        <w:tab w:val="right" w:pos="1179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TextBody"/>
    <w:pPr/>
    <w:rPr>
      <w:rFonts w:cs="Noto Sans Devanagari"/>
    </w:rPr>
  </w:style>
  <w:style w:type="paragraph" w:styleId="TextBody">
    <w:name w:val="Body Text"/>
    <w:basedOn w:val="Normal"/>
    <w:pPr>
      <w:spacing w:before="0" w:after="160"/>
      <w:jc w:val="both"/>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2980B9" w:val="clear"/>
      <w:jc w:val="start"/>
    </w:pPr>
    <w:rPr>
      <w:b/>
      <w:bCs/>
      <w:color w:val="FFFFFF"/>
    </w:rPr>
  </w:style>
  <w:style w:type="paragraph" w:styleId="TextBodyfooternote">
    <w:name w:val="Text Body.footer-note"/>
    <w:basedOn w:val="TextBody"/>
    <w:qFormat/>
    <w:pPr>
      <w:pBdr>
        <w:top w:val="single" w:sz="2" w:space="8" w:color="CCCCCC"/>
      </w:pBdr>
      <w:spacing w:before="480" w:after="160"/>
    </w:pPr>
    <w:rPr>
      <w:color w:val="7F8C8D"/>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