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E01E23" w14:textId="22A8DDDC" w:rsidR="00407AE0" w:rsidRDefault="003F10C3">
      <w:r w:rsidRPr="003F10C3">
        <w:t xml:space="preserve">Emerging Hot Spot Analysis detects trends in spatial clustering over time by combining the </w:t>
      </w:r>
      <w:proofErr w:type="spellStart"/>
      <w:r w:rsidRPr="003F10C3">
        <w:t>Getis</w:t>
      </w:r>
      <w:proofErr w:type="spellEnd"/>
      <w:r w:rsidRPr="003F10C3">
        <w:t>-Ord Gi* statistic with the Mann-Kendall trend test to identify temporal patterns in hot and cold spots</w:t>
      </w:r>
      <w:r>
        <w:t>.</w:t>
      </w:r>
    </w:p>
    <w:p w14:paraId="6D2E30CC" w14:textId="640482C0" w:rsidR="003F10C3" w:rsidRDefault="003F10C3">
      <w:r w:rsidRPr="003F10C3">
        <w:t>associated with local clustering of hot and cold spots</w:t>
      </w:r>
    </w:p>
    <w:p w14:paraId="533634C4" w14:textId="739129E8" w:rsidR="00950E37" w:rsidRDefault="00950E37">
      <w:r w:rsidRPr="00950E37">
        <w:t>Several provinces in the northern and northeastern regions of Thailand are identified as sporadic hotspots</w:t>
      </w:r>
    </w:p>
    <w:p w14:paraId="71080ACF" w14:textId="214BA0E3" w:rsidR="00110D33" w:rsidRPr="00110D33" w:rsidRDefault="00110D33" w:rsidP="00110D33">
      <w:pPr>
        <w:pStyle w:val="ListParagraph"/>
        <w:numPr>
          <w:ilvl w:val="0"/>
          <w:numId w:val="1"/>
        </w:numPr>
      </w:pPr>
      <w:r w:rsidRPr="00110D33">
        <w:rPr>
          <w:b/>
          <w:bCs/>
        </w:rPr>
        <w:t>Oscillating Hotspots:</w:t>
      </w:r>
      <w:r w:rsidRPr="00110D33">
        <w:t xml:space="preserve"> Several provinces in the northern and northeastern regions of Thailand are identified as oscillating hotspots. This suggests that these regions experienced significant fluctuations in the ratio of tourist stay overnight during the study period, potentially indicating emerging tourist destinations with growing popularity or seasonal variations in tourist </w:t>
      </w:r>
      <w:proofErr w:type="spellStart"/>
      <w:r w:rsidRPr="00110D33">
        <w:t>behavior</w:t>
      </w:r>
      <w:proofErr w:type="spellEnd"/>
      <w:r w:rsidRPr="00110D33">
        <w:t xml:space="preserve">. </w:t>
      </w:r>
    </w:p>
    <w:p w14:paraId="38B7916E" w14:textId="6D67ED38" w:rsidR="00110D33" w:rsidRDefault="00110D33" w:rsidP="00110D33">
      <w:pPr>
        <w:pStyle w:val="ListParagraph"/>
        <w:numPr>
          <w:ilvl w:val="0"/>
          <w:numId w:val="1"/>
        </w:numPr>
      </w:pPr>
      <w:r w:rsidRPr="00110D33">
        <w:rPr>
          <w:b/>
          <w:bCs/>
        </w:rPr>
        <w:t xml:space="preserve">Oscillating </w:t>
      </w:r>
      <w:proofErr w:type="spellStart"/>
      <w:r w:rsidRPr="00110D33">
        <w:rPr>
          <w:b/>
          <w:bCs/>
        </w:rPr>
        <w:t>Coldspots</w:t>
      </w:r>
      <w:proofErr w:type="spellEnd"/>
      <w:r w:rsidRPr="00110D33">
        <w:rPr>
          <w:b/>
          <w:bCs/>
        </w:rPr>
        <w:t>:</w:t>
      </w:r>
      <w:r w:rsidRPr="00110D33">
        <w:t xml:space="preserve"> Some provinces in the southern region, particularly near the border with Malaysia, are classified as oscillating </w:t>
      </w:r>
      <w:proofErr w:type="spellStart"/>
      <w:r w:rsidRPr="00110D33">
        <w:t>coldspots</w:t>
      </w:r>
      <w:proofErr w:type="spellEnd"/>
      <w:r w:rsidRPr="00110D33">
        <w:t xml:space="preserve">. This suggests that these regions experienced fluctuations in the ratio of tourist stay overnight, potentially due to factors such as competition from </w:t>
      </w:r>
      <w:proofErr w:type="spellStart"/>
      <w:r w:rsidRPr="00110D33">
        <w:t>neighboring</w:t>
      </w:r>
      <w:proofErr w:type="spellEnd"/>
      <w:r w:rsidRPr="00110D33">
        <w:t xml:space="preserve"> countries or seasonal changes in tourist preferences.</w:t>
      </w:r>
    </w:p>
    <w:p w14:paraId="6029ED9B" w14:textId="79E758F4" w:rsidR="00CF36AE" w:rsidRPr="00CF36AE" w:rsidRDefault="00CF36AE" w:rsidP="00CF36AE">
      <w:pPr>
        <w:pStyle w:val="ListParagraph"/>
        <w:numPr>
          <w:ilvl w:val="0"/>
          <w:numId w:val="7"/>
        </w:numPr>
        <w:rPr>
          <w:b/>
          <w:bCs/>
        </w:rPr>
      </w:pPr>
      <w:r w:rsidRPr="00CF36AE">
        <w:rPr>
          <w:b/>
          <w:bCs/>
        </w:rPr>
        <w:t>Global Measures of Spatial Association</w:t>
      </w:r>
    </w:p>
    <w:p w14:paraId="2BED0C3D" w14:textId="77777777" w:rsidR="00CF36AE" w:rsidRPr="00CF36AE" w:rsidRDefault="00CF36AE" w:rsidP="00CF36AE">
      <w:r w:rsidRPr="00CF36AE">
        <w:t>Except for Revenue from all tourists (</w:t>
      </w:r>
      <w:proofErr w:type="spellStart"/>
      <w:r w:rsidRPr="00CF36AE">
        <w:t>revenue_all</w:t>
      </w:r>
      <w:proofErr w:type="spellEnd"/>
      <w:r w:rsidRPr="00CF36AE">
        <w:t>) where the Global Moran's I statistic was not significant, for the remaining 4 variables (Number of All Tourists, Average ratio of tourist stay, Revenue per tourist and Ratio of Foreign to Thai tourist), the results were significant and indicate signs of clustering as the statistic value is larger than 0.</w:t>
      </w:r>
    </w:p>
    <w:p w14:paraId="601FC2D4" w14:textId="05E41F7E" w:rsidR="00CF36AE" w:rsidRPr="00CF36AE" w:rsidRDefault="00CF36AE" w:rsidP="00CF36AE">
      <w:pPr>
        <w:pStyle w:val="ListParagraph"/>
        <w:numPr>
          <w:ilvl w:val="0"/>
          <w:numId w:val="7"/>
        </w:numPr>
        <w:rPr>
          <w:b/>
          <w:bCs/>
        </w:rPr>
      </w:pPr>
      <w:r w:rsidRPr="00CF36AE">
        <w:rPr>
          <w:b/>
          <w:bCs/>
        </w:rPr>
        <w:t>Local Indicators of Spatial Association (LISA)</w:t>
      </w:r>
    </w:p>
    <w:p w14:paraId="4C67A05A" w14:textId="77777777" w:rsidR="00CF36AE" w:rsidRPr="00CF36AE" w:rsidRDefault="00CF36AE" w:rsidP="00CF36AE">
      <w:pPr>
        <w:rPr>
          <w:b/>
          <w:bCs/>
        </w:rPr>
      </w:pPr>
      <w:r w:rsidRPr="00CF36AE">
        <w:rPr>
          <w:b/>
          <w:bCs/>
        </w:rPr>
        <w:t>Total Revenue</w:t>
      </w:r>
    </w:p>
    <w:p w14:paraId="2086A2F1" w14:textId="77777777" w:rsidR="00CF36AE" w:rsidRPr="00CF36AE" w:rsidRDefault="00CF36AE" w:rsidP="00CF36AE">
      <w:pPr>
        <w:numPr>
          <w:ilvl w:val="0"/>
          <w:numId w:val="2"/>
        </w:numPr>
      </w:pPr>
      <w:r w:rsidRPr="00CF36AE">
        <w:t>There are clusters with Low-Low values in the North Easten region of Thailand, indicating low revenue from tourism in this area.</w:t>
      </w:r>
    </w:p>
    <w:p w14:paraId="6825ABEC" w14:textId="77777777" w:rsidR="00CF36AE" w:rsidRPr="00CF36AE" w:rsidRDefault="00CF36AE" w:rsidP="00CF36AE">
      <w:pPr>
        <w:numPr>
          <w:ilvl w:val="0"/>
          <w:numId w:val="2"/>
        </w:numPr>
      </w:pPr>
      <w:r w:rsidRPr="00CF36AE">
        <w:t>There are 2 Low-High clusters adjacent to Bangkok, this indicate the tourism revenue of the area around Bangkok is not evenly distributed.</w:t>
      </w:r>
    </w:p>
    <w:p w14:paraId="08417BAB" w14:textId="77777777" w:rsidR="00CF36AE" w:rsidRPr="00CF36AE" w:rsidRDefault="00CF36AE" w:rsidP="00CF36AE">
      <w:pPr>
        <w:numPr>
          <w:ilvl w:val="0"/>
          <w:numId w:val="2"/>
        </w:numPr>
      </w:pPr>
      <w:r w:rsidRPr="00CF36AE">
        <w:t xml:space="preserve">There is 1 High-Low cluster at Kanchanaburi province, indicating the tourism revenue in this area is significantly higher than the </w:t>
      </w:r>
      <w:proofErr w:type="spellStart"/>
      <w:r w:rsidRPr="00CF36AE">
        <w:t>surrouding</w:t>
      </w:r>
      <w:proofErr w:type="spellEnd"/>
      <w:r w:rsidRPr="00CF36AE">
        <w:t xml:space="preserve"> </w:t>
      </w:r>
      <w:proofErr w:type="spellStart"/>
      <w:r w:rsidRPr="00CF36AE">
        <w:t>neighbors</w:t>
      </w:r>
      <w:proofErr w:type="spellEnd"/>
      <w:r w:rsidRPr="00CF36AE">
        <w:t>.</w:t>
      </w:r>
    </w:p>
    <w:p w14:paraId="5C678910" w14:textId="3E8362ED" w:rsidR="00CF36AE" w:rsidRDefault="00CF36AE" w:rsidP="00CF36AE">
      <w:pPr>
        <w:rPr>
          <w:b/>
          <w:bCs/>
        </w:rPr>
      </w:pPr>
      <w:r w:rsidRPr="00CF36AE">
        <w:rPr>
          <w:b/>
          <w:bCs/>
        </w:rPr>
        <w:t>Number of Tourists</w:t>
      </w:r>
    </w:p>
    <w:p w14:paraId="7913E60F" w14:textId="77777777" w:rsidR="00CF36AE" w:rsidRPr="00CF36AE" w:rsidRDefault="00CF36AE" w:rsidP="00CF36AE">
      <w:pPr>
        <w:numPr>
          <w:ilvl w:val="0"/>
          <w:numId w:val="3"/>
        </w:numPr>
      </w:pPr>
      <w:proofErr w:type="gramStart"/>
      <w:r w:rsidRPr="00CF36AE">
        <w:t>Similar to</w:t>
      </w:r>
      <w:proofErr w:type="gramEnd"/>
      <w:r w:rsidRPr="00CF36AE">
        <w:t xml:space="preserve"> the LISA map on </w:t>
      </w:r>
      <w:proofErr w:type="spellStart"/>
      <w:r w:rsidRPr="00CF36AE">
        <w:t>revenue_all</w:t>
      </w:r>
      <w:proofErr w:type="spellEnd"/>
      <w:r w:rsidRPr="00CF36AE">
        <w:t>, there are Low-Low clusters in the North Easter region and Low-High clusters around Bangkok.</w:t>
      </w:r>
    </w:p>
    <w:p w14:paraId="0B6DD35A" w14:textId="77777777" w:rsidR="00CF36AE" w:rsidRPr="00CF36AE" w:rsidRDefault="00CF36AE" w:rsidP="00CF36AE">
      <w:pPr>
        <w:numPr>
          <w:ilvl w:val="0"/>
          <w:numId w:val="3"/>
        </w:numPr>
      </w:pPr>
      <w:r w:rsidRPr="00CF36AE">
        <w:t>There is 1 High-High cluster at Phetchaburi province, suggesting this can be a popular tourist destination compared to surrounding provinces.</w:t>
      </w:r>
    </w:p>
    <w:p w14:paraId="59D222DC" w14:textId="173156CD" w:rsidR="00CF36AE" w:rsidRDefault="00CF36AE" w:rsidP="00CF36AE">
      <w:pPr>
        <w:rPr>
          <w:b/>
          <w:bCs/>
        </w:rPr>
      </w:pPr>
      <w:r w:rsidRPr="00CF36AE">
        <w:rPr>
          <w:b/>
          <w:bCs/>
        </w:rPr>
        <w:t>Average Ratio Tourist Stay</w:t>
      </w:r>
    </w:p>
    <w:p w14:paraId="0EC706F6" w14:textId="77777777" w:rsidR="00CF36AE" w:rsidRPr="00CF36AE" w:rsidRDefault="00CF36AE" w:rsidP="00CF36AE">
      <w:pPr>
        <w:numPr>
          <w:ilvl w:val="0"/>
          <w:numId w:val="4"/>
        </w:numPr>
      </w:pPr>
      <w:r w:rsidRPr="00CF36AE">
        <w:t>There are High-High clusters in the North region, suggesting tourists tend to stay overnight in this area.</w:t>
      </w:r>
    </w:p>
    <w:p w14:paraId="0462B867" w14:textId="77777777" w:rsidR="00CF36AE" w:rsidRPr="00CF36AE" w:rsidRDefault="00CF36AE" w:rsidP="00CF36AE">
      <w:pPr>
        <w:numPr>
          <w:ilvl w:val="0"/>
          <w:numId w:val="4"/>
        </w:numPr>
      </w:pPr>
      <w:r w:rsidRPr="00CF36AE">
        <w:lastRenderedPageBreak/>
        <w:t xml:space="preserve">There is 1 Low-High cluster also in the North region, suggesting tourists are less likely to stay overnight in this province, they may prefer to stay in the </w:t>
      </w:r>
      <w:proofErr w:type="spellStart"/>
      <w:r w:rsidRPr="00CF36AE">
        <w:t>neighboring</w:t>
      </w:r>
      <w:proofErr w:type="spellEnd"/>
      <w:r w:rsidRPr="00CF36AE">
        <w:t xml:space="preserve"> High-High provinces.</w:t>
      </w:r>
    </w:p>
    <w:p w14:paraId="67FA3D78" w14:textId="73441D80" w:rsidR="00CF36AE" w:rsidRDefault="00CF36AE" w:rsidP="00CF36AE">
      <w:pPr>
        <w:rPr>
          <w:b/>
          <w:bCs/>
        </w:rPr>
      </w:pPr>
      <w:r w:rsidRPr="00CF36AE">
        <w:rPr>
          <w:b/>
          <w:bCs/>
        </w:rPr>
        <w:t>Foreign to Thai tourist</w:t>
      </w:r>
    </w:p>
    <w:p w14:paraId="20E0F156" w14:textId="77777777" w:rsidR="00CF36AE" w:rsidRPr="00CF36AE" w:rsidRDefault="00CF36AE" w:rsidP="00CF36AE">
      <w:pPr>
        <w:numPr>
          <w:ilvl w:val="0"/>
          <w:numId w:val="5"/>
        </w:numPr>
      </w:pPr>
      <w:r w:rsidRPr="00CF36AE">
        <w:t>There are Low-Low clusters in the Central region, suggesting these provinces are less popular to foreign visitors.</w:t>
      </w:r>
    </w:p>
    <w:p w14:paraId="70972716" w14:textId="77777777" w:rsidR="00CF36AE" w:rsidRPr="00CF36AE" w:rsidRDefault="00CF36AE" w:rsidP="00CF36AE">
      <w:pPr>
        <w:numPr>
          <w:ilvl w:val="0"/>
          <w:numId w:val="5"/>
        </w:numPr>
      </w:pPr>
      <w:r w:rsidRPr="00CF36AE">
        <w:t>There are High-High clusters in the Coastal region at Phuket,</w:t>
      </w:r>
      <w:r w:rsidRPr="00CF36AE">
        <w:br/>
        <w:t>Phang Nga and Surat Thani provinces. These are well-known destination for foreign visitors.</w:t>
      </w:r>
    </w:p>
    <w:p w14:paraId="71C375B1" w14:textId="77777777" w:rsidR="00CF36AE" w:rsidRDefault="00CF36AE" w:rsidP="00CF36AE">
      <w:pPr>
        <w:rPr>
          <w:b/>
          <w:bCs/>
        </w:rPr>
      </w:pPr>
      <w:r w:rsidRPr="00CF36AE">
        <w:rPr>
          <w:b/>
          <w:bCs/>
        </w:rPr>
        <w:t>Revenue per tourist</w:t>
      </w:r>
    </w:p>
    <w:p w14:paraId="79EA744E" w14:textId="77777777" w:rsidR="00CF36AE" w:rsidRPr="00CF36AE" w:rsidRDefault="00CF36AE" w:rsidP="00CF36AE">
      <w:pPr>
        <w:numPr>
          <w:ilvl w:val="0"/>
          <w:numId w:val="6"/>
        </w:numPr>
      </w:pPr>
      <w:r w:rsidRPr="00CF36AE">
        <w:t>There are Low-Low clusters in the North East and Central regions, suggesting the revenue per tourist is lower in the provinces.</w:t>
      </w:r>
    </w:p>
    <w:p w14:paraId="327CD357" w14:textId="77777777" w:rsidR="00CF36AE" w:rsidRDefault="00CF36AE" w:rsidP="00CF36AE">
      <w:pPr>
        <w:numPr>
          <w:ilvl w:val="0"/>
          <w:numId w:val="6"/>
        </w:numPr>
      </w:pPr>
      <w:r w:rsidRPr="00CF36AE">
        <w:t xml:space="preserve">There are High-High clusters in </w:t>
      </w:r>
      <w:proofErr w:type="spellStart"/>
      <w:r w:rsidRPr="00CF36AE">
        <w:t>Phukey</w:t>
      </w:r>
      <w:proofErr w:type="spellEnd"/>
      <w:r w:rsidRPr="00CF36AE">
        <w:t xml:space="preserve"> and Phang Nga province. As these areas are popular to foreign visitors (also High-High cluster on Foreign to Thai </w:t>
      </w:r>
      <w:proofErr w:type="gramStart"/>
      <w:r w:rsidRPr="00CF36AE">
        <w:t>tourists</w:t>
      </w:r>
      <w:proofErr w:type="gramEnd"/>
      <w:r w:rsidRPr="00CF36AE">
        <w:t xml:space="preserve"> ratio), suggesting foreign visitors tend to spend more on their visits.</w:t>
      </w:r>
    </w:p>
    <w:p w14:paraId="2A26C271" w14:textId="140BD122" w:rsidR="00CF36AE" w:rsidRPr="00CF36AE" w:rsidRDefault="00CF36AE" w:rsidP="00CF36AE">
      <w:pPr>
        <w:pStyle w:val="ListParagraph"/>
        <w:numPr>
          <w:ilvl w:val="0"/>
          <w:numId w:val="7"/>
        </w:numPr>
        <w:rPr>
          <w:b/>
          <w:bCs/>
        </w:rPr>
      </w:pPr>
      <w:r w:rsidRPr="00CF36AE">
        <w:rPr>
          <w:b/>
          <w:bCs/>
        </w:rPr>
        <w:t>Emerging Hot Spot Analysis (EHSA)</w:t>
      </w:r>
    </w:p>
    <w:p w14:paraId="55D3DAF6" w14:textId="2CA17619" w:rsidR="00CF36AE" w:rsidRDefault="00CF36AE" w:rsidP="00CF36AE">
      <w:pPr>
        <w:rPr>
          <w:b/>
          <w:bCs/>
        </w:rPr>
      </w:pPr>
      <w:r w:rsidRPr="00CF36AE">
        <w:rPr>
          <w:b/>
          <w:bCs/>
        </w:rPr>
        <w:t>Total Revenue</w:t>
      </w:r>
    </w:p>
    <w:p w14:paraId="32EBCB86" w14:textId="2598CA52" w:rsidR="00CF36AE" w:rsidRPr="00CF36AE" w:rsidRDefault="00CF36AE" w:rsidP="00CF36AE">
      <w:r w:rsidRPr="00CF36AE">
        <w:t xml:space="preserve">Several provinces in the northern, northeastern and southern regions of Thailand are identified as </w:t>
      </w:r>
      <w:r w:rsidRPr="00CF36AE">
        <w:rPr>
          <w:b/>
          <w:bCs/>
        </w:rPr>
        <w:t xml:space="preserve">sporadic </w:t>
      </w:r>
      <w:proofErr w:type="spellStart"/>
      <w:r w:rsidRPr="00CF36AE">
        <w:rPr>
          <w:b/>
          <w:bCs/>
        </w:rPr>
        <w:t>coldspots</w:t>
      </w:r>
      <w:proofErr w:type="spellEnd"/>
      <w:r w:rsidRPr="00CF36AE">
        <w:t>. This suggests that these regions experienced some declines or stagnation in tourism revenue, in which COVID-19 travel restriction can be a major factor.</w:t>
      </w:r>
    </w:p>
    <w:p w14:paraId="59209DD2" w14:textId="726624FA" w:rsidR="00CF36AE" w:rsidRDefault="00CF36AE" w:rsidP="00CF36AE">
      <w:pPr>
        <w:rPr>
          <w:b/>
          <w:bCs/>
        </w:rPr>
      </w:pPr>
      <w:r w:rsidRPr="00CF36AE">
        <w:rPr>
          <w:b/>
          <w:bCs/>
        </w:rPr>
        <w:t>Number of Tourists</w:t>
      </w:r>
    </w:p>
    <w:p w14:paraId="34F91587" w14:textId="38155B17" w:rsidR="00CF36AE" w:rsidRPr="00CF36AE" w:rsidRDefault="00CF36AE" w:rsidP="00CF36AE">
      <w:r w:rsidRPr="00CF36AE">
        <w:t xml:space="preserve">The </w:t>
      </w:r>
      <w:r w:rsidRPr="00CF36AE">
        <w:t xml:space="preserve">EHSA </w:t>
      </w:r>
      <w:r w:rsidRPr="00CF36AE">
        <w:t xml:space="preserve">map shows only 1 oscillating </w:t>
      </w:r>
      <w:proofErr w:type="spellStart"/>
      <w:r w:rsidRPr="00CF36AE">
        <w:t>coldspot</w:t>
      </w:r>
      <w:proofErr w:type="spellEnd"/>
      <w:r w:rsidRPr="00CF36AE">
        <w:t xml:space="preserve"> in Phichit province, suggesting this province used to be popular to tourists in the past but not as of February 2023.</w:t>
      </w:r>
    </w:p>
    <w:p w14:paraId="293C7904" w14:textId="7180662A" w:rsidR="00CF36AE" w:rsidRDefault="00CF36AE" w:rsidP="00CF36AE">
      <w:pPr>
        <w:rPr>
          <w:b/>
          <w:bCs/>
        </w:rPr>
      </w:pPr>
      <w:r w:rsidRPr="00CF36AE">
        <w:rPr>
          <w:b/>
          <w:bCs/>
        </w:rPr>
        <w:t>Ratio Tourist Stay</w:t>
      </w:r>
    </w:p>
    <w:p w14:paraId="0EB51866" w14:textId="77777777" w:rsidR="00CF36AE" w:rsidRPr="00CF36AE" w:rsidRDefault="00CF36AE" w:rsidP="00CF36AE">
      <w:pPr>
        <w:numPr>
          <w:ilvl w:val="0"/>
          <w:numId w:val="8"/>
        </w:numPr>
      </w:pPr>
      <w:r w:rsidRPr="00CF36AE">
        <w:t xml:space="preserve">Several provinces in the northern and central regions are identified as </w:t>
      </w:r>
      <w:r w:rsidRPr="00CF36AE">
        <w:rPr>
          <w:b/>
          <w:bCs/>
        </w:rPr>
        <w:t>oscillating hotspots.</w:t>
      </w:r>
      <w:r w:rsidRPr="00CF36AE">
        <w:t xml:space="preserve"> This suggests these regions experienced significant fluctuations in the ratio of tourist stay overnight during the period 2019-2023, potentially indicating emerging tourist destinations with growing popularity.</w:t>
      </w:r>
    </w:p>
    <w:p w14:paraId="09392D02" w14:textId="1F7EAC8B" w:rsidR="00CF36AE" w:rsidRPr="00CF36AE" w:rsidRDefault="00CF36AE" w:rsidP="00CF36AE">
      <w:pPr>
        <w:numPr>
          <w:ilvl w:val="0"/>
          <w:numId w:val="8"/>
        </w:numPr>
      </w:pPr>
      <w:r w:rsidRPr="00CF36AE">
        <w:t xml:space="preserve">Some provinces in the northeastern region are classified as </w:t>
      </w:r>
      <w:r w:rsidRPr="00CF36AE">
        <w:rPr>
          <w:b/>
          <w:bCs/>
        </w:rPr>
        <w:t xml:space="preserve">oscillating </w:t>
      </w:r>
      <w:proofErr w:type="spellStart"/>
      <w:r w:rsidRPr="00CF36AE">
        <w:rPr>
          <w:b/>
          <w:bCs/>
        </w:rPr>
        <w:t>coldspots</w:t>
      </w:r>
      <w:proofErr w:type="spellEnd"/>
      <w:r w:rsidRPr="00CF36AE">
        <w:t>. This suggests these regions experienced fluctuations in the ratio of tourist stay overnight with an overall downward trend.</w:t>
      </w:r>
    </w:p>
    <w:p w14:paraId="13E177FC" w14:textId="4BC4B505" w:rsidR="00CF36AE" w:rsidRDefault="00CF36AE" w:rsidP="00CF36AE">
      <w:pPr>
        <w:rPr>
          <w:b/>
          <w:bCs/>
        </w:rPr>
      </w:pPr>
      <w:r w:rsidRPr="00CF36AE">
        <w:rPr>
          <w:b/>
          <w:bCs/>
        </w:rPr>
        <w:t>Foreign to Thai tourist</w:t>
      </w:r>
    </w:p>
    <w:p w14:paraId="34BEACE7" w14:textId="77777777" w:rsidR="00CF36AE" w:rsidRPr="00CF36AE" w:rsidRDefault="00CF36AE" w:rsidP="00CF36AE">
      <w:pPr>
        <w:numPr>
          <w:ilvl w:val="0"/>
          <w:numId w:val="9"/>
        </w:numPr>
      </w:pPr>
      <w:r w:rsidRPr="00CF36AE">
        <w:t xml:space="preserve">Several provinces in the central and northern regions of Thailand are identified as </w:t>
      </w:r>
      <w:r w:rsidRPr="00CF36AE">
        <w:rPr>
          <w:b/>
          <w:bCs/>
        </w:rPr>
        <w:t>sporadic hotspots</w:t>
      </w:r>
      <w:r w:rsidRPr="00CF36AE">
        <w:t>. This suggests significant fluctuations in the ratio of foreign to Thai tourists in these areas during the study period, potentially indicating increased popularity among foreign visitors.</w:t>
      </w:r>
    </w:p>
    <w:p w14:paraId="07B24CE7" w14:textId="1E66E33C" w:rsidR="00CF36AE" w:rsidRPr="00CF36AE" w:rsidRDefault="00CF36AE" w:rsidP="00CF36AE">
      <w:pPr>
        <w:numPr>
          <w:ilvl w:val="0"/>
          <w:numId w:val="10"/>
        </w:numPr>
      </w:pPr>
      <w:r w:rsidRPr="00CF36AE">
        <w:lastRenderedPageBreak/>
        <w:t xml:space="preserve">Many provinces in the northern, northeastern and central region around Bangkok are classified as </w:t>
      </w:r>
      <w:r w:rsidRPr="00CF36AE">
        <w:rPr>
          <w:b/>
          <w:bCs/>
        </w:rPr>
        <w:t xml:space="preserve">sporadic </w:t>
      </w:r>
      <w:proofErr w:type="spellStart"/>
      <w:r w:rsidRPr="00CF36AE">
        <w:rPr>
          <w:b/>
          <w:bCs/>
        </w:rPr>
        <w:t>coldspots</w:t>
      </w:r>
      <w:proofErr w:type="spellEnd"/>
      <w:r w:rsidRPr="00CF36AE">
        <w:t>, indicating fluctuations in the ratio of foreign to Thai tourists with an overall downward trend.</w:t>
      </w:r>
    </w:p>
    <w:p w14:paraId="22C8D6FE" w14:textId="0DEC89D8" w:rsidR="00CF36AE" w:rsidRDefault="00CF36AE" w:rsidP="00CF36AE">
      <w:pPr>
        <w:rPr>
          <w:b/>
          <w:bCs/>
        </w:rPr>
      </w:pPr>
      <w:r w:rsidRPr="00CF36AE">
        <w:rPr>
          <w:b/>
          <w:bCs/>
        </w:rPr>
        <w:t>Revenue per tourist</w:t>
      </w:r>
    </w:p>
    <w:p w14:paraId="7744E54F" w14:textId="77777777" w:rsidR="00CF36AE" w:rsidRPr="00CF36AE" w:rsidRDefault="00CF36AE" w:rsidP="00CF36AE">
      <w:pPr>
        <w:numPr>
          <w:ilvl w:val="0"/>
          <w:numId w:val="11"/>
        </w:numPr>
      </w:pPr>
      <w:r w:rsidRPr="00CF36AE">
        <w:t xml:space="preserve">Several provinces in the central and northern regions of Thailand, are identified as sporadic hotspots. This suggests significant fluctuations in revenue per tourist during the study period, with the overall value is still high compared to the </w:t>
      </w:r>
      <w:proofErr w:type="spellStart"/>
      <w:r w:rsidRPr="00CF36AE">
        <w:t>neighboring</w:t>
      </w:r>
      <w:proofErr w:type="spellEnd"/>
      <w:r w:rsidRPr="00CF36AE">
        <w:t xml:space="preserve"> provinces.</w:t>
      </w:r>
    </w:p>
    <w:p w14:paraId="291DECB4" w14:textId="77777777" w:rsidR="00CF36AE" w:rsidRPr="00CF36AE" w:rsidRDefault="00CF36AE" w:rsidP="00CF36AE">
      <w:pPr>
        <w:numPr>
          <w:ilvl w:val="0"/>
          <w:numId w:val="12"/>
        </w:numPr>
      </w:pPr>
      <w:r w:rsidRPr="00CF36AE">
        <w:t xml:space="preserve">Many provinces nationwide are classified as sporadic </w:t>
      </w:r>
      <w:proofErr w:type="spellStart"/>
      <w:r w:rsidRPr="00CF36AE">
        <w:t>coldspots</w:t>
      </w:r>
      <w:proofErr w:type="spellEnd"/>
      <w:r w:rsidRPr="00CF36AE">
        <w:t xml:space="preserve">, indicating fluctuations in revenue per tourist with a relatively low value compared to their </w:t>
      </w:r>
      <w:proofErr w:type="spellStart"/>
      <w:r w:rsidRPr="00CF36AE">
        <w:t>neighbors</w:t>
      </w:r>
      <w:proofErr w:type="spellEnd"/>
      <w:r w:rsidRPr="00CF36AE">
        <w:t xml:space="preserve">, </w:t>
      </w:r>
      <w:proofErr w:type="spellStart"/>
      <w:r w:rsidRPr="00CF36AE">
        <w:t>may</w:t>
      </w:r>
      <w:proofErr w:type="spellEnd"/>
      <w:r w:rsidRPr="00CF36AE">
        <w:t xml:space="preserve"> of which </w:t>
      </w:r>
      <w:proofErr w:type="gramStart"/>
      <w:r w:rsidRPr="00CF36AE">
        <w:t>has</w:t>
      </w:r>
      <w:proofErr w:type="gramEnd"/>
      <w:r w:rsidRPr="00CF36AE">
        <w:t xml:space="preserve"> sporadic hotspots pattern.</w:t>
      </w:r>
    </w:p>
    <w:p w14:paraId="5F0D6F87" w14:textId="77777777" w:rsidR="00CF36AE" w:rsidRPr="00CF36AE" w:rsidRDefault="00CF36AE" w:rsidP="00CF36AE">
      <w:pPr>
        <w:rPr>
          <w:b/>
          <w:bCs/>
        </w:rPr>
      </w:pPr>
    </w:p>
    <w:sectPr w:rsidR="00CF36AE" w:rsidRPr="00CF36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A7F98"/>
    <w:multiLevelType w:val="hybridMultilevel"/>
    <w:tmpl w:val="6FD81DC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1F91E2E"/>
    <w:multiLevelType w:val="multilevel"/>
    <w:tmpl w:val="15F6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7448C6"/>
    <w:multiLevelType w:val="multilevel"/>
    <w:tmpl w:val="1C84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D478F9"/>
    <w:multiLevelType w:val="multilevel"/>
    <w:tmpl w:val="64D4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E34579"/>
    <w:multiLevelType w:val="multilevel"/>
    <w:tmpl w:val="F4C00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2F43E5"/>
    <w:multiLevelType w:val="multilevel"/>
    <w:tmpl w:val="E7927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3D2ED7"/>
    <w:multiLevelType w:val="multilevel"/>
    <w:tmpl w:val="34EE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616932"/>
    <w:multiLevelType w:val="multilevel"/>
    <w:tmpl w:val="C7802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1F410F"/>
    <w:multiLevelType w:val="multilevel"/>
    <w:tmpl w:val="300C8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3D5097"/>
    <w:multiLevelType w:val="hybridMultilevel"/>
    <w:tmpl w:val="13E6A7D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67D529DA"/>
    <w:multiLevelType w:val="multilevel"/>
    <w:tmpl w:val="9BD6E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5004B1"/>
    <w:multiLevelType w:val="multilevel"/>
    <w:tmpl w:val="5434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1382710">
    <w:abstractNumId w:val="0"/>
  </w:num>
  <w:num w:numId="2" w16cid:durableId="1821998788">
    <w:abstractNumId w:val="8"/>
  </w:num>
  <w:num w:numId="3" w16cid:durableId="1770853829">
    <w:abstractNumId w:val="5"/>
  </w:num>
  <w:num w:numId="4" w16cid:durableId="1180969446">
    <w:abstractNumId w:val="11"/>
  </w:num>
  <w:num w:numId="5" w16cid:durableId="1121337528">
    <w:abstractNumId w:val="3"/>
  </w:num>
  <w:num w:numId="6" w16cid:durableId="1988896204">
    <w:abstractNumId w:val="1"/>
  </w:num>
  <w:num w:numId="7" w16cid:durableId="622805800">
    <w:abstractNumId w:val="9"/>
  </w:num>
  <w:num w:numId="8" w16cid:durableId="54204537">
    <w:abstractNumId w:val="6"/>
  </w:num>
  <w:num w:numId="9" w16cid:durableId="874074993">
    <w:abstractNumId w:val="4"/>
  </w:num>
  <w:num w:numId="10" w16cid:durableId="614022490">
    <w:abstractNumId w:val="10"/>
  </w:num>
  <w:num w:numId="11" w16cid:durableId="803618721">
    <w:abstractNumId w:val="2"/>
  </w:num>
  <w:num w:numId="12" w16cid:durableId="18368718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0C3"/>
    <w:rsid w:val="00110D33"/>
    <w:rsid w:val="001423C9"/>
    <w:rsid w:val="001B400D"/>
    <w:rsid w:val="00302370"/>
    <w:rsid w:val="003F10C3"/>
    <w:rsid w:val="00407AE0"/>
    <w:rsid w:val="00532BB2"/>
    <w:rsid w:val="00834F26"/>
    <w:rsid w:val="008737EF"/>
    <w:rsid w:val="00950E37"/>
    <w:rsid w:val="00B62E41"/>
    <w:rsid w:val="00B73772"/>
    <w:rsid w:val="00C0394E"/>
    <w:rsid w:val="00C632C3"/>
    <w:rsid w:val="00C768D8"/>
    <w:rsid w:val="00CF36AE"/>
    <w:rsid w:val="00F736D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84646"/>
  <w15:chartTrackingRefBased/>
  <w15:docId w15:val="{FB59A1DC-6E26-4D59-8F74-2B40EF284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0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F10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F10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10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10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10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10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10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10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0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F10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F10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10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10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10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10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10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10C3"/>
    <w:rPr>
      <w:rFonts w:eastAsiaTheme="majorEastAsia" w:cstheme="majorBidi"/>
      <w:color w:val="272727" w:themeColor="text1" w:themeTint="D8"/>
    </w:rPr>
  </w:style>
  <w:style w:type="paragraph" w:styleId="Title">
    <w:name w:val="Title"/>
    <w:basedOn w:val="Normal"/>
    <w:next w:val="Normal"/>
    <w:link w:val="TitleChar"/>
    <w:uiPriority w:val="10"/>
    <w:qFormat/>
    <w:rsid w:val="003F10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0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10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10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10C3"/>
    <w:pPr>
      <w:spacing w:before="160"/>
      <w:jc w:val="center"/>
    </w:pPr>
    <w:rPr>
      <w:i/>
      <w:iCs/>
      <w:color w:val="404040" w:themeColor="text1" w:themeTint="BF"/>
    </w:rPr>
  </w:style>
  <w:style w:type="character" w:customStyle="1" w:styleId="QuoteChar">
    <w:name w:val="Quote Char"/>
    <w:basedOn w:val="DefaultParagraphFont"/>
    <w:link w:val="Quote"/>
    <w:uiPriority w:val="29"/>
    <w:rsid w:val="003F10C3"/>
    <w:rPr>
      <w:i/>
      <w:iCs/>
      <w:color w:val="404040" w:themeColor="text1" w:themeTint="BF"/>
    </w:rPr>
  </w:style>
  <w:style w:type="paragraph" w:styleId="ListParagraph">
    <w:name w:val="List Paragraph"/>
    <w:basedOn w:val="Normal"/>
    <w:uiPriority w:val="34"/>
    <w:qFormat/>
    <w:rsid w:val="003F10C3"/>
    <w:pPr>
      <w:ind w:left="720"/>
      <w:contextualSpacing/>
    </w:pPr>
  </w:style>
  <w:style w:type="character" w:styleId="IntenseEmphasis">
    <w:name w:val="Intense Emphasis"/>
    <w:basedOn w:val="DefaultParagraphFont"/>
    <w:uiPriority w:val="21"/>
    <w:qFormat/>
    <w:rsid w:val="003F10C3"/>
    <w:rPr>
      <w:i/>
      <w:iCs/>
      <w:color w:val="0F4761" w:themeColor="accent1" w:themeShade="BF"/>
    </w:rPr>
  </w:style>
  <w:style w:type="paragraph" w:styleId="IntenseQuote">
    <w:name w:val="Intense Quote"/>
    <w:basedOn w:val="Normal"/>
    <w:next w:val="Normal"/>
    <w:link w:val="IntenseQuoteChar"/>
    <w:uiPriority w:val="30"/>
    <w:qFormat/>
    <w:rsid w:val="003F10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10C3"/>
    <w:rPr>
      <w:i/>
      <w:iCs/>
      <w:color w:val="0F4761" w:themeColor="accent1" w:themeShade="BF"/>
    </w:rPr>
  </w:style>
  <w:style w:type="character" w:styleId="IntenseReference">
    <w:name w:val="Intense Reference"/>
    <w:basedOn w:val="DefaultParagraphFont"/>
    <w:uiPriority w:val="32"/>
    <w:qFormat/>
    <w:rsid w:val="003F10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71878">
      <w:bodyDiv w:val="1"/>
      <w:marLeft w:val="0"/>
      <w:marRight w:val="0"/>
      <w:marTop w:val="0"/>
      <w:marBottom w:val="0"/>
      <w:divBdr>
        <w:top w:val="none" w:sz="0" w:space="0" w:color="auto"/>
        <w:left w:val="none" w:sz="0" w:space="0" w:color="auto"/>
        <w:bottom w:val="none" w:sz="0" w:space="0" w:color="auto"/>
        <w:right w:val="none" w:sz="0" w:space="0" w:color="auto"/>
      </w:divBdr>
    </w:div>
    <w:div w:id="49577472">
      <w:bodyDiv w:val="1"/>
      <w:marLeft w:val="0"/>
      <w:marRight w:val="0"/>
      <w:marTop w:val="0"/>
      <w:marBottom w:val="0"/>
      <w:divBdr>
        <w:top w:val="none" w:sz="0" w:space="0" w:color="auto"/>
        <w:left w:val="none" w:sz="0" w:space="0" w:color="auto"/>
        <w:bottom w:val="none" w:sz="0" w:space="0" w:color="auto"/>
        <w:right w:val="none" w:sz="0" w:space="0" w:color="auto"/>
      </w:divBdr>
    </w:div>
    <w:div w:id="98262713">
      <w:bodyDiv w:val="1"/>
      <w:marLeft w:val="0"/>
      <w:marRight w:val="0"/>
      <w:marTop w:val="0"/>
      <w:marBottom w:val="0"/>
      <w:divBdr>
        <w:top w:val="none" w:sz="0" w:space="0" w:color="auto"/>
        <w:left w:val="none" w:sz="0" w:space="0" w:color="auto"/>
        <w:bottom w:val="none" w:sz="0" w:space="0" w:color="auto"/>
        <w:right w:val="none" w:sz="0" w:space="0" w:color="auto"/>
      </w:divBdr>
    </w:div>
    <w:div w:id="271516186">
      <w:bodyDiv w:val="1"/>
      <w:marLeft w:val="0"/>
      <w:marRight w:val="0"/>
      <w:marTop w:val="0"/>
      <w:marBottom w:val="0"/>
      <w:divBdr>
        <w:top w:val="none" w:sz="0" w:space="0" w:color="auto"/>
        <w:left w:val="none" w:sz="0" w:space="0" w:color="auto"/>
        <w:bottom w:val="none" w:sz="0" w:space="0" w:color="auto"/>
        <w:right w:val="none" w:sz="0" w:space="0" w:color="auto"/>
      </w:divBdr>
      <w:divsChild>
        <w:div w:id="1239755469">
          <w:marLeft w:val="0"/>
          <w:marRight w:val="0"/>
          <w:marTop w:val="0"/>
          <w:marBottom w:val="0"/>
          <w:divBdr>
            <w:top w:val="none" w:sz="0" w:space="0" w:color="auto"/>
            <w:left w:val="none" w:sz="0" w:space="0" w:color="auto"/>
            <w:bottom w:val="none" w:sz="0" w:space="0" w:color="auto"/>
            <w:right w:val="none" w:sz="0" w:space="0" w:color="auto"/>
          </w:divBdr>
          <w:divsChild>
            <w:div w:id="89851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92980">
      <w:bodyDiv w:val="1"/>
      <w:marLeft w:val="0"/>
      <w:marRight w:val="0"/>
      <w:marTop w:val="0"/>
      <w:marBottom w:val="0"/>
      <w:divBdr>
        <w:top w:val="none" w:sz="0" w:space="0" w:color="auto"/>
        <w:left w:val="none" w:sz="0" w:space="0" w:color="auto"/>
        <w:bottom w:val="none" w:sz="0" w:space="0" w:color="auto"/>
        <w:right w:val="none" w:sz="0" w:space="0" w:color="auto"/>
      </w:divBdr>
    </w:div>
    <w:div w:id="333151024">
      <w:bodyDiv w:val="1"/>
      <w:marLeft w:val="0"/>
      <w:marRight w:val="0"/>
      <w:marTop w:val="0"/>
      <w:marBottom w:val="0"/>
      <w:divBdr>
        <w:top w:val="none" w:sz="0" w:space="0" w:color="auto"/>
        <w:left w:val="none" w:sz="0" w:space="0" w:color="auto"/>
        <w:bottom w:val="none" w:sz="0" w:space="0" w:color="auto"/>
        <w:right w:val="none" w:sz="0" w:space="0" w:color="auto"/>
      </w:divBdr>
    </w:div>
    <w:div w:id="357780398">
      <w:bodyDiv w:val="1"/>
      <w:marLeft w:val="0"/>
      <w:marRight w:val="0"/>
      <w:marTop w:val="0"/>
      <w:marBottom w:val="0"/>
      <w:divBdr>
        <w:top w:val="none" w:sz="0" w:space="0" w:color="auto"/>
        <w:left w:val="none" w:sz="0" w:space="0" w:color="auto"/>
        <w:bottom w:val="none" w:sz="0" w:space="0" w:color="auto"/>
        <w:right w:val="none" w:sz="0" w:space="0" w:color="auto"/>
      </w:divBdr>
    </w:div>
    <w:div w:id="380401639">
      <w:bodyDiv w:val="1"/>
      <w:marLeft w:val="0"/>
      <w:marRight w:val="0"/>
      <w:marTop w:val="0"/>
      <w:marBottom w:val="0"/>
      <w:divBdr>
        <w:top w:val="none" w:sz="0" w:space="0" w:color="auto"/>
        <w:left w:val="none" w:sz="0" w:space="0" w:color="auto"/>
        <w:bottom w:val="none" w:sz="0" w:space="0" w:color="auto"/>
        <w:right w:val="none" w:sz="0" w:space="0" w:color="auto"/>
      </w:divBdr>
    </w:div>
    <w:div w:id="425227211">
      <w:bodyDiv w:val="1"/>
      <w:marLeft w:val="0"/>
      <w:marRight w:val="0"/>
      <w:marTop w:val="0"/>
      <w:marBottom w:val="0"/>
      <w:divBdr>
        <w:top w:val="none" w:sz="0" w:space="0" w:color="auto"/>
        <w:left w:val="none" w:sz="0" w:space="0" w:color="auto"/>
        <w:bottom w:val="none" w:sz="0" w:space="0" w:color="auto"/>
        <w:right w:val="none" w:sz="0" w:space="0" w:color="auto"/>
      </w:divBdr>
    </w:div>
    <w:div w:id="472675713">
      <w:bodyDiv w:val="1"/>
      <w:marLeft w:val="0"/>
      <w:marRight w:val="0"/>
      <w:marTop w:val="0"/>
      <w:marBottom w:val="0"/>
      <w:divBdr>
        <w:top w:val="none" w:sz="0" w:space="0" w:color="auto"/>
        <w:left w:val="none" w:sz="0" w:space="0" w:color="auto"/>
        <w:bottom w:val="none" w:sz="0" w:space="0" w:color="auto"/>
        <w:right w:val="none" w:sz="0" w:space="0" w:color="auto"/>
      </w:divBdr>
      <w:divsChild>
        <w:div w:id="47730391">
          <w:marLeft w:val="0"/>
          <w:marRight w:val="0"/>
          <w:marTop w:val="0"/>
          <w:marBottom w:val="0"/>
          <w:divBdr>
            <w:top w:val="none" w:sz="0" w:space="0" w:color="auto"/>
            <w:left w:val="none" w:sz="0" w:space="0" w:color="auto"/>
            <w:bottom w:val="none" w:sz="0" w:space="0" w:color="auto"/>
            <w:right w:val="none" w:sz="0" w:space="0" w:color="auto"/>
          </w:divBdr>
          <w:divsChild>
            <w:div w:id="51723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70885">
      <w:bodyDiv w:val="1"/>
      <w:marLeft w:val="0"/>
      <w:marRight w:val="0"/>
      <w:marTop w:val="0"/>
      <w:marBottom w:val="0"/>
      <w:divBdr>
        <w:top w:val="none" w:sz="0" w:space="0" w:color="auto"/>
        <w:left w:val="none" w:sz="0" w:space="0" w:color="auto"/>
        <w:bottom w:val="none" w:sz="0" w:space="0" w:color="auto"/>
        <w:right w:val="none" w:sz="0" w:space="0" w:color="auto"/>
      </w:divBdr>
    </w:div>
    <w:div w:id="521087572">
      <w:bodyDiv w:val="1"/>
      <w:marLeft w:val="0"/>
      <w:marRight w:val="0"/>
      <w:marTop w:val="0"/>
      <w:marBottom w:val="0"/>
      <w:divBdr>
        <w:top w:val="none" w:sz="0" w:space="0" w:color="auto"/>
        <w:left w:val="none" w:sz="0" w:space="0" w:color="auto"/>
        <w:bottom w:val="none" w:sz="0" w:space="0" w:color="auto"/>
        <w:right w:val="none" w:sz="0" w:space="0" w:color="auto"/>
      </w:divBdr>
    </w:div>
    <w:div w:id="633288580">
      <w:bodyDiv w:val="1"/>
      <w:marLeft w:val="0"/>
      <w:marRight w:val="0"/>
      <w:marTop w:val="0"/>
      <w:marBottom w:val="0"/>
      <w:divBdr>
        <w:top w:val="none" w:sz="0" w:space="0" w:color="auto"/>
        <w:left w:val="none" w:sz="0" w:space="0" w:color="auto"/>
        <w:bottom w:val="none" w:sz="0" w:space="0" w:color="auto"/>
        <w:right w:val="none" w:sz="0" w:space="0" w:color="auto"/>
      </w:divBdr>
    </w:div>
    <w:div w:id="855534851">
      <w:bodyDiv w:val="1"/>
      <w:marLeft w:val="0"/>
      <w:marRight w:val="0"/>
      <w:marTop w:val="0"/>
      <w:marBottom w:val="0"/>
      <w:divBdr>
        <w:top w:val="none" w:sz="0" w:space="0" w:color="auto"/>
        <w:left w:val="none" w:sz="0" w:space="0" w:color="auto"/>
        <w:bottom w:val="none" w:sz="0" w:space="0" w:color="auto"/>
        <w:right w:val="none" w:sz="0" w:space="0" w:color="auto"/>
      </w:divBdr>
    </w:div>
    <w:div w:id="856306787">
      <w:bodyDiv w:val="1"/>
      <w:marLeft w:val="0"/>
      <w:marRight w:val="0"/>
      <w:marTop w:val="0"/>
      <w:marBottom w:val="0"/>
      <w:divBdr>
        <w:top w:val="none" w:sz="0" w:space="0" w:color="auto"/>
        <w:left w:val="none" w:sz="0" w:space="0" w:color="auto"/>
        <w:bottom w:val="none" w:sz="0" w:space="0" w:color="auto"/>
        <w:right w:val="none" w:sz="0" w:space="0" w:color="auto"/>
      </w:divBdr>
    </w:div>
    <w:div w:id="988366009">
      <w:bodyDiv w:val="1"/>
      <w:marLeft w:val="0"/>
      <w:marRight w:val="0"/>
      <w:marTop w:val="0"/>
      <w:marBottom w:val="0"/>
      <w:divBdr>
        <w:top w:val="none" w:sz="0" w:space="0" w:color="auto"/>
        <w:left w:val="none" w:sz="0" w:space="0" w:color="auto"/>
        <w:bottom w:val="none" w:sz="0" w:space="0" w:color="auto"/>
        <w:right w:val="none" w:sz="0" w:space="0" w:color="auto"/>
      </w:divBdr>
      <w:divsChild>
        <w:div w:id="625506020">
          <w:marLeft w:val="0"/>
          <w:marRight w:val="0"/>
          <w:marTop w:val="0"/>
          <w:marBottom w:val="0"/>
          <w:divBdr>
            <w:top w:val="none" w:sz="0" w:space="0" w:color="auto"/>
            <w:left w:val="none" w:sz="0" w:space="0" w:color="auto"/>
            <w:bottom w:val="none" w:sz="0" w:space="0" w:color="auto"/>
            <w:right w:val="none" w:sz="0" w:space="0" w:color="auto"/>
          </w:divBdr>
          <w:divsChild>
            <w:div w:id="56244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5122">
      <w:bodyDiv w:val="1"/>
      <w:marLeft w:val="0"/>
      <w:marRight w:val="0"/>
      <w:marTop w:val="0"/>
      <w:marBottom w:val="0"/>
      <w:divBdr>
        <w:top w:val="none" w:sz="0" w:space="0" w:color="auto"/>
        <w:left w:val="none" w:sz="0" w:space="0" w:color="auto"/>
        <w:bottom w:val="none" w:sz="0" w:space="0" w:color="auto"/>
        <w:right w:val="none" w:sz="0" w:space="0" w:color="auto"/>
      </w:divBdr>
    </w:div>
    <w:div w:id="1206410879">
      <w:bodyDiv w:val="1"/>
      <w:marLeft w:val="0"/>
      <w:marRight w:val="0"/>
      <w:marTop w:val="0"/>
      <w:marBottom w:val="0"/>
      <w:divBdr>
        <w:top w:val="none" w:sz="0" w:space="0" w:color="auto"/>
        <w:left w:val="none" w:sz="0" w:space="0" w:color="auto"/>
        <w:bottom w:val="none" w:sz="0" w:space="0" w:color="auto"/>
        <w:right w:val="none" w:sz="0" w:space="0" w:color="auto"/>
      </w:divBdr>
    </w:div>
    <w:div w:id="1230000675">
      <w:bodyDiv w:val="1"/>
      <w:marLeft w:val="0"/>
      <w:marRight w:val="0"/>
      <w:marTop w:val="0"/>
      <w:marBottom w:val="0"/>
      <w:divBdr>
        <w:top w:val="none" w:sz="0" w:space="0" w:color="auto"/>
        <w:left w:val="none" w:sz="0" w:space="0" w:color="auto"/>
        <w:bottom w:val="none" w:sz="0" w:space="0" w:color="auto"/>
        <w:right w:val="none" w:sz="0" w:space="0" w:color="auto"/>
      </w:divBdr>
      <w:divsChild>
        <w:div w:id="927546567">
          <w:marLeft w:val="0"/>
          <w:marRight w:val="0"/>
          <w:marTop w:val="0"/>
          <w:marBottom w:val="0"/>
          <w:divBdr>
            <w:top w:val="none" w:sz="0" w:space="0" w:color="auto"/>
            <w:left w:val="none" w:sz="0" w:space="0" w:color="auto"/>
            <w:bottom w:val="none" w:sz="0" w:space="0" w:color="auto"/>
            <w:right w:val="none" w:sz="0" w:space="0" w:color="auto"/>
          </w:divBdr>
          <w:divsChild>
            <w:div w:id="209952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39582">
      <w:bodyDiv w:val="1"/>
      <w:marLeft w:val="0"/>
      <w:marRight w:val="0"/>
      <w:marTop w:val="0"/>
      <w:marBottom w:val="0"/>
      <w:divBdr>
        <w:top w:val="none" w:sz="0" w:space="0" w:color="auto"/>
        <w:left w:val="none" w:sz="0" w:space="0" w:color="auto"/>
        <w:bottom w:val="none" w:sz="0" w:space="0" w:color="auto"/>
        <w:right w:val="none" w:sz="0" w:space="0" w:color="auto"/>
      </w:divBdr>
    </w:div>
    <w:div w:id="1407343565">
      <w:bodyDiv w:val="1"/>
      <w:marLeft w:val="0"/>
      <w:marRight w:val="0"/>
      <w:marTop w:val="0"/>
      <w:marBottom w:val="0"/>
      <w:divBdr>
        <w:top w:val="none" w:sz="0" w:space="0" w:color="auto"/>
        <w:left w:val="none" w:sz="0" w:space="0" w:color="auto"/>
        <w:bottom w:val="none" w:sz="0" w:space="0" w:color="auto"/>
        <w:right w:val="none" w:sz="0" w:space="0" w:color="auto"/>
      </w:divBdr>
    </w:div>
    <w:div w:id="1411196375">
      <w:bodyDiv w:val="1"/>
      <w:marLeft w:val="0"/>
      <w:marRight w:val="0"/>
      <w:marTop w:val="0"/>
      <w:marBottom w:val="0"/>
      <w:divBdr>
        <w:top w:val="none" w:sz="0" w:space="0" w:color="auto"/>
        <w:left w:val="none" w:sz="0" w:space="0" w:color="auto"/>
        <w:bottom w:val="none" w:sz="0" w:space="0" w:color="auto"/>
        <w:right w:val="none" w:sz="0" w:space="0" w:color="auto"/>
      </w:divBdr>
    </w:div>
    <w:div w:id="1419055966">
      <w:bodyDiv w:val="1"/>
      <w:marLeft w:val="0"/>
      <w:marRight w:val="0"/>
      <w:marTop w:val="0"/>
      <w:marBottom w:val="0"/>
      <w:divBdr>
        <w:top w:val="none" w:sz="0" w:space="0" w:color="auto"/>
        <w:left w:val="none" w:sz="0" w:space="0" w:color="auto"/>
        <w:bottom w:val="none" w:sz="0" w:space="0" w:color="auto"/>
        <w:right w:val="none" w:sz="0" w:space="0" w:color="auto"/>
      </w:divBdr>
    </w:div>
    <w:div w:id="1530297706">
      <w:bodyDiv w:val="1"/>
      <w:marLeft w:val="0"/>
      <w:marRight w:val="0"/>
      <w:marTop w:val="0"/>
      <w:marBottom w:val="0"/>
      <w:divBdr>
        <w:top w:val="none" w:sz="0" w:space="0" w:color="auto"/>
        <w:left w:val="none" w:sz="0" w:space="0" w:color="auto"/>
        <w:bottom w:val="none" w:sz="0" w:space="0" w:color="auto"/>
        <w:right w:val="none" w:sz="0" w:space="0" w:color="auto"/>
      </w:divBdr>
      <w:divsChild>
        <w:div w:id="68355068">
          <w:marLeft w:val="0"/>
          <w:marRight w:val="0"/>
          <w:marTop w:val="0"/>
          <w:marBottom w:val="0"/>
          <w:divBdr>
            <w:top w:val="none" w:sz="0" w:space="0" w:color="auto"/>
            <w:left w:val="none" w:sz="0" w:space="0" w:color="auto"/>
            <w:bottom w:val="none" w:sz="0" w:space="0" w:color="auto"/>
            <w:right w:val="none" w:sz="0" w:space="0" w:color="auto"/>
          </w:divBdr>
          <w:divsChild>
            <w:div w:id="59490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1773">
      <w:bodyDiv w:val="1"/>
      <w:marLeft w:val="0"/>
      <w:marRight w:val="0"/>
      <w:marTop w:val="0"/>
      <w:marBottom w:val="0"/>
      <w:divBdr>
        <w:top w:val="none" w:sz="0" w:space="0" w:color="auto"/>
        <w:left w:val="none" w:sz="0" w:space="0" w:color="auto"/>
        <w:bottom w:val="none" w:sz="0" w:space="0" w:color="auto"/>
        <w:right w:val="none" w:sz="0" w:space="0" w:color="auto"/>
      </w:divBdr>
    </w:div>
    <w:div w:id="1540120002">
      <w:bodyDiv w:val="1"/>
      <w:marLeft w:val="0"/>
      <w:marRight w:val="0"/>
      <w:marTop w:val="0"/>
      <w:marBottom w:val="0"/>
      <w:divBdr>
        <w:top w:val="none" w:sz="0" w:space="0" w:color="auto"/>
        <w:left w:val="none" w:sz="0" w:space="0" w:color="auto"/>
        <w:bottom w:val="none" w:sz="0" w:space="0" w:color="auto"/>
        <w:right w:val="none" w:sz="0" w:space="0" w:color="auto"/>
      </w:divBdr>
    </w:div>
    <w:div w:id="1589197048">
      <w:bodyDiv w:val="1"/>
      <w:marLeft w:val="0"/>
      <w:marRight w:val="0"/>
      <w:marTop w:val="0"/>
      <w:marBottom w:val="0"/>
      <w:divBdr>
        <w:top w:val="none" w:sz="0" w:space="0" w:color="auto"/>
        <w:left w:val="none" w:sz="0" w:space="0" w:color="auto"/>
        <w:bottom w:val="none" w:sz="0" w:space="0" w:color="auto"/>
        <w:right w:val="none" w:sz="0" w:space="0" w:color="auto"/>
      </w:divBdr>
    </w:div>
    <w:div w:id="1708599031">
      <w:bodyDiv w:val="1"/>
      <w:marLeft w:val="0"/>
      <w:marRight w:val="0"/>
      <w:marTop w:val="0"/>
      <w:marBottom w:val="0"/>
      <w:divBdr>
        <w:top w:val="none" w:sz="0" w:space="0" w:color="auto"/>
        <w:left w:val="none" w:sz="0" w:space="0" w:color="auto"/>
        <w:bottom w:val="none" w:sz="0" w:space="0" w:color="auto"/>
        <w:right w:val="none" w:sz="0" w:space="0" w:color="auto"/>
      </w:divBdr>
    </w:div>
    <w:div w:id="1752892690">
      <w:bodyDiv w:val="1"/>
      <w:marLeft w:val="0"/>
      <w:marRight w:val="0"/>
      <w:marTop w:val="0"/>
      <w:marBottom w:val="0"/>
      <w:divBdr>
        <w:top w:val="none" w:sz="0" w:space="0" w:color="auto"/>
        <w:left w:val="none" w:sz="0" w:space="0" w:color="auto"/>
        <w:bottom w:val="none" w:sz="0" w:space="0" w:color="auto"/>
        <w:right w:val="none" w:sz="0" w:space="0" w:color="auto"/>
      </w:divBdr>
    </w:div>
    <w:div w:id="1983121644">
      <w:bodyDiv w:val="1"/>
      <w:marLeft w:val="0"/>
      <w:marRight w:val="0"/>
      <w:marTop w:val="0"/>
      <w:marBottom w:val="0"/>
      <w:divBdr>
        <w:top w:val="none" w:sz="0" w:space="0" w:color="auto"/>
        <w:left w:val="none" w:sz="0" w:space="0" w:color="auto"/>
        <w:bottom w:val="none" w:sz="0" w:space="0" w:color="auto"/>
        <w:right w:val="none" w:sz="0" w:space="0" w:color="auto"/>
      </w:divBdr>
    </w:div>
    <w:div w:id="1984430099">
      <w:bodyDiv w:val="1"/>
      <w:marLeft w:val="0"/>
      <w:marRight w:val="0"/>
      <w:marTop w:val="0"/>
      <w:marBottom w:val="0"/>
      <w:divBdr>
        <w:top w:val="none" w:sz="0" w:space="0" w:color="auto"/>
        <w:left w:val="none" w:sz="0" w:space="0" w:color="auto"/>
        <w:bottom w:val="none" w:sz="0" w:space="0" w:color="auto"/>
        <w:right w:val="none" w:sz="0" w:space="0" w:color="auto"/>
      </w:divBdr>
    </w:div>
    <w:div w:id="2046518182">
      <w:bodyDiv w:val="1"/>
      <w:marLeft w:val="0"/>
      <w:marRight w:val="0"/>
      <w:marTop w:val="0"/>
      <w:marBottom w:val="0"/>
      <w:divBdr>
        <w:top w:val="none" w:sz="0" w:space="0" w:color="auto"/>
        <w:left w:val="none" w:sz="0" w:space="0" w:color="auto"/>
        <w:bottom w:val="none" w:sz="0" w:space="0" w:color="auto"/>
        <w:right w:val="none" w:sz="0" w:space="0" w:color="auto"/>
      </w:divBdr>
      <w:divsChild>
        <w:div w:id="1767380239">
          <w:marLeft w:val="0"/>
          <w:marRight w:val="0"/>
          <w:marTop w:val="0"/>
          <w:marBottom w:val="0"/>
          <w:divBdr>
            <w:top w:val="none" w:sz="0" w:space="0" w:color="auto"/>
            <w:left w:val="none" w:sz="0" w:space="0" w:color="auto"/>
            <w:bottom w:val="none" w:sz="0" w:space="0" w:color="auto"/>
            <w:right w:val="none" w:sz="0" w:space="0" w:color="auto"/>
          </w:divBdr>
          <w:divsChild>
            <w:div w:id="200253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1454">
      <w:bodyDiv w:val="1"/>
      <w:marLeft w:val="0"/>
      <w:marRight w:val="0"/>
      <w:marTop w:val="0"/>
      <w:marBottom w:val="0"/>
      <w:divBdr>
        <w:top w:val="none" w:sz="0" w:space="0" w:color="auto"/>
        <w:left w:val="none" w:sz="0" w:space="0" w:color="auto"/>
        <w:bottom w:val="none" w:sz="0" w:space="0" w:color="auto"/>
        <w:right w:val="none" w:sz="0" w:space="0" w:color="auto"/>
      </w:divBdr>
    </w:div>
    <w:div w:id="2101833390">
      <w:bodyDiv w:val="1"/>
      <w:marLeft w:val="0"/>
      <w:marRight w:val="0"/>
      <w:marTop w:val="0"/>
      <w:marBottom w:val="0"/>
      <w:divBdr>
        <w:top w:val="none" w:sz="0" w:space="0" w:color="auto"/>
        <w:left w:val="none" w:sz="0" w:space="0" w:color="auto"/>
        <w:bottom w:val="none" w:sz="0" w:space="0" w:color="auto"/>
        <w:right w:val="none" w:sz="0" w:space="0" w:color="auto"/>
      </w:divBdr>
    </w:div>
    <w:div w:id="2118790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798</Words>
  <Characters>4551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Bao Thu Phuong</dc:creator>
  <cp:keywords/>
  <dc:description/>
  <cp:lastModifiedBy>NGUYEN Bao Thu Phuong</cp:lastModifiedBy>
  <cp:revision>1</cp:revision>
  <dcterms:created xsi:type="dcterms:W3CDTF">2024-10-13T03:29:00Z</dcterms:created>
  <dcterms:modified xsi:type="dcterms:W3CDTF">2024-10-13T05:42:00Z</dcterms:modified>
</cp:coreProperties>
</file>