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SLR Methodology Section — Suggestions Compiled from Project Chats</w:t>
      </w:r>
    </w:p>
    <w:p>
      <w:pPr>
        <w:spacing w:after="120"/>
      </w:pPr>
      <w:r>
        <w:rPr>
          <w:rFonts w:ascii="Arial" w:cs="Arial" w:eastAsia="Arial" w:hAnsi="Arial"/>
          <w:sz w:val="22"/>
          <w:szCs w:val="22"/>
        </w:rPr>
        <w:t xml:space="preserve">Vibe Coding Governance Systematic Literature Review</w:t>
      </w:r>
    </w:p>
    <w:p>
      <w:pPr>
        <w:spacing w:after="120"/>
      </w:pPr>
      <w:r>
        <w:rPr>
          <w:rFonts w:ascii="Arial" w:cs="Arial" w:eastAsia="Arial" w:hAnsi="Arial"/>
          <w:sz w:val="22"/>
          <w:szCs w:val="22"/>
        </w:rPr>
        <w:t xml:space="preserve">Compiled April 24, 2026; updated June 7, 2026</w:t>
      </w:r>
    </w:p>
    <w:p>
      <w:r>
        <w:t xml:space="preserve"/>
      </w:r>
    </w:p>
    <w:p>
      <w:pPr>
        <w:spacing w:after="120"/>
      </w:pPr>
      <w:r>
        <w:rPr>
          <w:rFonts w:ascii="Arial" w:cs="Arial" w:eastAsia="Arial" w:hAnsi="Arial"/>
          <w:sz w:val="22"/>
          <w:szCs w:val="22"/>
        </w:rPr>
        <w:t xml:space="preserve">This document enumerates suggestions for the SLR methodology section that surfaced across the project’s chats. Each item points back to the chat where the discussion happened so the original context can be reviewed before drafting. Items are grouped by methodology topic, not by chat order.</w:t>
      </w:r>
    </w:p>
    <w:p>
      <w:pPr>
        <w:spacing w:after="120"/>
      </w:pPr>
      <w:r>
        <w:rPr>
          <w:rFonts w:ascii="Arial" w:cs="Arial" w:eastAsia="Arial" w:hAnsi="Arial"/>
          <w:sz w:val="22"/>
          <w:szCs w:val="22"/>
        </w:rPr>
        <w:t xml:space="preserve">Chat title abbreviations used as source citations below correspond to the chat titles visible in the project sidebar.</w:t>
      </w:r>
    </w:p>
    <w:p>
      <w:r>
        <w:t xml:space="preserve"/>
      </w:r>
    </w:p>
    <w:p>
      <w:pPr>
        <w:pStyle w:val="Heading1"/>
      </w:pPr>
      <w:r>
        <w:rPr>
          <w:rFonts w:ascii="Arial" w:cs="Arial" w:eastAsia="Arial" w:hAnsi="Arial"/>
        </w:rPr>
        <w:t xml:space="preserve">1. Protocol, Research Questions, and Framing</w:t>
      </w:r>
    </w:p>
    <w:p>
      <w:pPr>
        <w:pStyle w:val="Heading2"/>
      </w:pPr>
      <w:r>
        <w:rPr>
          <w:rFonts w:ascii="Arial" w:cs="Arial" w:eastAsia="Arial" w:hAnsi="Arial"/>
        </w:rPr>
        <w:t xml:space="preserve">1.1 Research-question framing and scoping</w:t>
      </w:r>
    </w:p>
    <w:p>
      <w:pPr>
        <w:pStyle w:val="ListParagraph"/>
        <w:numPr>
          <w:ilvl w:val="0"/>
          <w:numId w:val="2"/>
        </w:numPr>
        <w:spacing w:after="80"/>
      </w:pPr>
      <w:r>
        <w:rPr>
          <w:rFonts w:ascii="Arial" w:cs="Arial" w:eastAsia="Arial" w:hAnsi="Arial"/>
          <w:sz w:val="22"/>
          <w:szCs w:val="22"/>
        </w:rPr>
        <w:t xml:space="preserve">Use a PICO/PICOC- or SPIDER-style framing as the front matter of the methods section: inclusion criteria require a paper to address at least one of (a) a risk introduced by AI-generated code, (b) a governance or oversight mechanism applied to that code, or (c) scalability of review/quality control. Papers studying LLM capability benchmarks without an organizational governance link are excluded.</w:t>
      </w:r>
    </w:p>
    <w:p>
      <w:pPr>
        <w:pStyle w:val="ListParagraph"/>
        <w:numPr>
          <w:ilvl w:val="1"/>
          <w:numId w:val="2"/>
        </w:numPr>
        <w:spacing w:after="120"/>
      </w:pPr>
      <w:r>
        <w:rPr>
          <w:rFonts w:ascii="Arial" w:cs="Arial" w:eastAsia="Arial" w:hAnsi="Arial"/>
          <w:i/>
          <w:iCs/>
          <w:color w:val="666666"/>
          <w:sz w:val="20"/>
          <w:szCs w:val="20"/>
        </w:rPr>
        <w:t xml:space="preserve">Source: “Literature review selection and tagging principles” — Mid-chat — PICO/SPIDER framing for inclusion criteria</w:t>
      </w:r>
    </w:p>
    <w:p>
      <w:pPr>
        <w:pStyle w:val="ListParagraph"/>
        <w:numPr>
          <w:ilvl w:val="0"/>
          <w:numId w:val="2"/>
        </w:numPr>
        <w:spacing w:after="80"/>
      </w:pPr>
      <w:r>
        <w:rPr>
          <w:rFonts w:ascii="Arial" w:cs="Arial" w:eastAsia="Arial" w:hAnsi="Arial"/>
          <w:sz w:val="22"/>
          <w:szCs w:val="22"/>
        </w:rPr>
        <w:t xml:space="preserve">Frame the dissertation’s contribution gap explicitly in the methods rationale: the underserved angle is scalability of oversight without sacrificing quality. Tier 1 “Core” papers address that angle directly; Tier 2 “Context” papers address the volume/risk problem only.</w:t>
      </w:r>
    </w:p>
    <w:p>
      <w:pPr>
        <w:pStyle w:val="ListParagraph"/>
        <w:numPr>
          <w:ilvl w:val="1"/>
          <w:numId w:val="2"/>
        </w:numPr>
        <w:spacing w:after="120"/>
      </w:pPr>
      <w:r>
        <w:rPr>
          <w:rFonts w:ascii="Arial" w:cs="Arial" w:eastAsia="Arial" w:hAnsi="Arial"/>
          <w:i/>
          <w:iCs/>
          <w:color w:val="666666"/>
          <w:sz w:val="20"/>
          <w:szCs w:val="20"/>
        </w:rPr>
        <w:t xml:space="preserve">Source: “Literature review selection and tagging principles” — Mid-chat — priority signal for your research gap</w:t>
      </w:r>
    </w:p>
    <w:p>
      <w:pPr>
        <w:pStyle w:val="ListParagraph"/>
        <w:numPr>
          <w:ilvl w:val="0"/>
          <w:numId w:val="2"/>
        </w:numPr>
        <w:spacing w:after="80"/>
      </w:pPr>
      <w:r>
        <w:rPr>
          <w:rFonts w:ascii="Arial" w:cs="Arial" w:eastAsia="Arial" w:hAnsi="Arial"/>
          <w:sz w:val="22"/>
          <w:szCs w:val="22"/>
        </w:rPr>
        <w:t xml:space="preserve">Anchor the synthesis in an explicit theoretical lens at the intersection of human factors (automation bias, signal detection theory, Parasuraman levels of automation) and organizational risk management (ISO 31000 logic, NIST AI RMF). State this in the methods chapter so the coding scheme has a stated theoretical home.</w:t>
      </w:r>
    </w:p>
    <w:p>
      <w:pPr>
        <w:pStyle w:val="ListParagraph"/>
        <w:numPr>
          <w:ilvl w:val="1"/>
          <w:numId w:val="2"/>
        </w:numPr>
        <w:spacing w:after="120"/>
      </w:pPr>
      <w:r>
        <w:rPr>
          <w:rFonts w:ascii="Arial" w:cs="Arial" w:eastAsia="Arial" w:hAnsi="Arial"/>
          <w:i/>
          <w:iCs/>
          <w:color w:val="666666"/>
          <w:sz w:val="20"/>
          <w:szCs w:val="20"/>
        </w:rPr>
        <w:t xml:space="preserve">Source: “Systematic literature review on AI-generated code risk management” — Section labeled “Analytical Approach”</w:t>
      </w:r>
    </w:p>
    <w:p>
      <w:pPr>
        <w:pStyle w:val="Heading2"/>
      </w:pPr>
      <w:r>
        <w:rPr>
          <w:rFonts w:ascii="Arial" w:cs="Arial" w:eastAsia="Arial" w:hAnsi="Arial"/>
        </w:rPr>
        <w:t xml:space="preserve">1.2 NEW — Research question structure (Thomas meeting, 2026-05-01)</w:t>
      </w:r>
    </w:p>
    <w:p>
      <w:pPr>
        <w:pStyle w:val="ListParagraph"/>
        <w:numPr>
          <w:ilvl w:val="0"/>
          <w:numId w:val="2"/>
        </w:numPr>
        <w:spacing w:after="80"/>
      </w:pPr>
      <w:r>
        <w:rPr>
          <w:rFonts w:ascii="Arial" w:cs="Arial" w:eastAsia="Arial" w:hAnsi="Arial"/>
          <w:sz w:val="22"/>
          <w:szCs w:val="22"/>
        </w:rPr>
        <w:t xml:space="preserve">Governance/policy elevated to a separate top-level RQ (not a sub-question). Rationale: scale and scope involved is more along the lines of policy than implementation.</w:t>
      </w:r>
    </w:p>
    <w:p>
      <w:pPr>
        <w:pStyle w:val="ListParagraph"/>
        <w:numPr>
          <w:ilvl w:val="0"/>
          <w:numId w:val="2"/>
        </w:numPr>
        <w:spacing w:after="80"/>
      </w:pPr>
      <w:r>
        <w:rPr>
          <w:rFonts w:ascii="Arial" w:cs="Arial" w:eastAsia="Arial" w:hAnsi="Arial"/>
          <w:sz w:val="22"/>
          <w:szCs w:val="22"/>
        </w:rPr>
        <w:t xml:space="preserve">Sub-RQs broadened and made less leading. Suggested structure: (1) How are organizations practicing human oversight in their AI coding pipelines? (2) What are the strengths and limitations of current oversight practices? Sub-questions should be broad enough for quantitative and qualitative findings to emerge organically.</w:t>
      </w:r>
    </w:p>
    <w:p>
      <w:pPr>
        <w:pStyle w:val="ListParagraph"/>
        <w:numPr>
          <w:ilvl w:val="0"/>
          <w:numId w:val="2"/>
        </w:numPr>
        <w:spacing w:after="80"/>
      </w:pPr>
      <w:r>
        <w:rPr>
          <w:rFonts w:ascii="Arial" w:cs="Arial" w:eastAsia="Arial" w:hAnsi="Arial"/>
          <w:sz w:val="22"/>
          <w:szCs w:val="22"/>
        </w:rPr>
        <w:t xml:space="preserve">The SLR answers the overarching RQ (current state of literature); it also surfaces the gap that motivates surveys + interviews with practitioners.</w:t>
      </w:r>
    </w:p>
    <w:p>
      <w:pPr>
        <w:pStyle w:val="ListParagraph"/>
        <w:numPr>
          <w:ilvl w:val="1"/>
          <w:numId w:val="2"/>
        </w:numPr>
        <w:spacing w:after="120"/>
      </w:pPr>
      <w:r>
        <w:rPr>
          <w:rFonts w:ascii="Arial" w:cs="Arial" w:eastAsia="Arial" w:hAnsi="Arial"/>
          <w:i/>
          <w:iCs/>
          <w:color w:val="666666"/>
          <w:sz w:val="20"/>
          <w:szCs w:val="20"/>
        </w:rPr>
        <w:t xml:space="preserve">Source: Research Question Brainstorm meeting transcript, 2026-05-01, Thomas and Thurlow</w:t>
      </w:r>
    </w:p>
    <w:p>
      <w:pPr>
        <w:pStyle w:val="Heading2"/>
      </w:pPr>
      <w:r>
        <w:rPr>
          <w:rFonts w:ascii="Arial" w:cs="Arial" w:eastAsia="Arial" w:hAnsi="Arial"/>
        </w:rPr>
        <w:t xml:space="preserve">1.3 Relation between SLR paper and dissertation literature review</w:t>
      </w:r>
    </w:p>
    <w:p>
      <w:pPr>
        <w:pStyle w:val="ListParagraph"/>
        <w:numPr>
          <w:ilvl w:val="0"/>
          <w:numId w:val="2"/>
        </w:numPr>
        <w:spacing w:after="80"/>
      </w:pPr>
      <w:r>
        <w:rPr>
          <w:rFonts w:ascii="Arial" w:cs="Arial" w:eastAsia="Arial" w:hAnsi="Arial"/>
          <w:sz w:val="22"/>
          <w:szCs w:val="22"/>
        </w:rPr>
        <w:t xml:space="preserve">Document explicitly that the SLR is a standalone methodological contribution while the dissertation LR is a selective interpretive argument. The methods chapter should cite the published SLR rather than reproduce its content, to avoid self-plagiarism / text recycling concerns.</w:t>
      </w:r>
    </w:p>
    <w:p>
      <w:pPr>
        <w:pStyle w:val="ListParagraph"/>
        <w:numPr>
          <w:ilvl w:val="1"/>
          <w:numId w:val="2"/>
        </w:numPr>
        <w:spacing w:after="120"/>
      </w:pPr>
      <w:r>
        <w:rPr>
          <w:rFonts w:ascii="Arial" w:cs="Arial" w:eastAsia="Arial" w:hAnsi="Arial"/>
          <w:i/>
          <w:iCs/>
          <w:color w:val="666666"/>
          <w:sz w:val="20"/>
          <w:szCs w:val="20"/>
        </w:rPr>
        <w:t xml:space="preserve">Source: “Systematic literature review on AI-generated code risk management” — Late chat</w:t>
      </w:r>
    </w:p>
    <w:p>
      <w:pPr>
        <w:pStyle w:val="ListParagraph"/>
        <w:numPr>
          <w:ilvl w:val="0"/>
          <w:numId w:val="2"/>
        </w:numPr>
        <w:spacing w:after="80"/>
      </w:pPr>
      <w:r>
        <w:rPr>
          <w:rFonts w:ascii="Arial" w:cs="Arial" w:eastAsia="Arial" w:hAnsi="Arial"/>
          <w:sz w:val="22"/>
          <w:szCs w:val="22"/>
        </w:rPr>
        <w:t xml:space="preserve">Check copyright transfer terms before submitting the SLR; Purdue manuscript-format dissertation policies and target venue author-rights policy both need to be reviewed.</w:t>
      </w:r>
    </w:p>
    <w:p>
      <w:pPr>
        <w:pStyle w:val="ListParagraph"/>
        <w:numPr>
          <w:ilvl w:val="1"/>
          <w:numId w:val="2"/>
        </w:numPr>
        <w:spacing w:after="120"/>
      </w:pPr>
      <w:r>
        <w:rPr>
          <w:rFonts w:ascii="Arial" w:cs="Arial" w:eastAsia="Arial" w:hAnsi="Arial"/>
          <w:i/>
          <w:iCs/>
          <w:color w:val="666666"/>
          <w:sz w:val="20"/>
          <w:szCs w:val="20"/>
        </w:rPr>
        <w:t xml:space="preserve">Source: “Systematic literature review on AI-generated code risk management” — Late chat</w:t>
      </w:r>
    </w:p>
    <w:p>
      <w:pPr>
        <w:pStyle w:val="ListParagraph"/>
        <w:numPr>
          <w:ilvl w:val="0"/>
          <w:numId w:val="2"/>
        </w:numPr>
        <w:spacing w:after="80"/>
      </w:pPr>
      <w:r>
        <w:rPr>
          <w:rFonts w:ascii="Arial" w:cs="Arial" w:eastAsia="Arial" w:hAnsi="Arial"/>
          <w:sz w:val="22"/>
          <w:szCs w:val="22"/>
        </w:rPr>
        <w:t xml:space="preserve">Confirm with the program director that a peer-reviewed conference paper satisfies the publication requirement before locking in the venue. Candidate venues: ICSE SEIP, EASE, HICSS. Thomas also noted Frontiers in Education (IEEE-affiliated) as a potential fit.</w:t>
      </w:r>
    </w:p>
    <w:p>
      <w:pPr>
        <w:pStyle w:val="ListParagraph"/>
        <w:numPr>
          <w:ilvl w:val="1"/>
          <w:numId w:val="2"/>
        </w:numPr>
        <w:spacing w:after="120"/>
      </w:pPr>
      <w:r>
        <w:rPr>
          <w:rFonts w:ascii="Arial" w:cs="Arial" w:eastAsia="Arial" w:hAnsi="Arial"/>
          <w:i/>
          <w:iCs/>
          <w:color w:val="666666"/>
          <w:sz w:val="20"/>
          <w:szCs w:val="20"/>
        </w:rPr>
        <w:t xml:space="preserve">Source: “Systematic literature review on AI-generated code risk management” — Late chat; Thomas meeting 2026-05-01</w:t>
      </w:r>
    </w:p>
    <w:p>
      <w:r>
        <w:t xml:space="preserve"/>
      </w:r>
    </w:p>
    <w:p>
      <w:pPr>
        <w:pStyle w:val="Heading1"/>
      </w:pPr>
      <w:r>
        <w:rPr>
          <w:rFonts w:ascii="Arial" w:cs="Arial" w:eastAsia="Arial" w:hAnsi="Arial"/>
        </w:rPr>
        <w:t xml:space="preserve">2. Search Strategy</w:t>
      </w:r>
    </w:p>
    <w:p>
      <w:pPr>
        <w:pStyle w:val="Heading2"/>
      </w:pPr>
      <w:r>
        <w:rPr>
          <w:rFonts w:ascii="Arial" w:cs="Arial" w:eastAsia="Arial" w:hAnsi="Arial"/>
        </w:rPr>
        <w:t xml:space="preserve">2.1 Multi-stream identification architecture (PRISMA 2020)</w:t>
      </w:r>
    </w:p>
    <w:p>
      <w:pPr>
        <w:pStyle w:val="ListParagraph"/>
        <w:numPr>
          <w:ilvl w:val="0"/>
          <w:numId w:val="2"/>
        </w:numPr>
        <w:spacing w:after="80"/>
      </w:pPr>
      <w:r>
        <w:rPr>
          <w:rFonts w:ascii="Arial" w:cs="Arial" w:eastAsia="Arial" w:hAnsi="Arial"/>
          <w:sz w:val="22"/>
          <w:szCs w:val="22"/>
        </w:rPr>
        <w:t xml:space="preserve">Document identification as multiple parallel streams — Database Searching (IEEE, ACM, Scopus, WoS, ABI/Inform-as-attempted), Preprint search (arXiv), and Other Methods (Coursework, Practitioner Network) — with each stream’s search method, date, and yield reported separately.</w:t>
      </w:r>
    </w:p>
    <w:p>
      <w:pPr>
        <w:pStyle w:val="ListParagraph"/>
        <w:numPr>
          <w:ilvl w:val="1"/>
          <w:numId w:val="2"/>
        </w:numPr>
        <w:spacing w:after="120"/>
      </w:pPr>
      <w:r>
        <w:rPr>
          <w:rFonts w:ascii="Arial" w:cs="Arial" w:eastAsia="Arial" w:hAnsi="Arial"/>
          <w:i/>
          <w:iCs/>
          <w:color w:val="666666"/>
          <w:sz w:val="20"/>
          <w:szCs w:val="20"/>
        </w:rPr>
        <w:t xml:space="preserve">Source: “IEEE Xplore and Coursework classifications review” — Mid-chat</w:t>
      </w:r>
    </w:p>
    <w:p>
      <w:pPr>
        <w:pStyle w:val="ListParagraph"/>
        <w:numPr>
          <w:ilvl w:val="0"/>
          <w:numId w:val="2"/>
        </w:numPr>
        <w:spacing w:after="80"/>
      </w:pPr>
      <w:r>
        <w:rPr>
          <w:rFonts w:ascii="Arial" w:cs="Arial" w:eastAsia="Arial" w:hAnsi="Arial"/>
          <w:sz w:val="22"/>
          <w:szCs w:val="22"/>
        </w:rPr>
        <w:t xml:space="preserve">Three-way taxonomy: (1) peer-reviewed scholarly literature (IEEE, ACM, Scopus); (2) preprint literature (arXiv) with additional methodological-transparency check at Pass 1; (3) curated grey literature (Coursework, Practitioner Network) screened against tighter grey-literature criteria.</w:t>
      </w:r>
    </w:p>
    <w:p>
      <w:pPr>
        <w:pStyle w:val="ListParagraph"/>
        <w:numPr>
          <w:ilvl w:val="1"/>
          <w:numId w:val="2"/>
        </w:numPr>
        <w:spacing w:after="120"/>
      </w:pPr>
      <w:r>
        <w:rPr>
          <w:rFonts w:ascii="Arial" w:cs="Arial" w:eastAsia="Arial" w:hAnsi="Arial"/>
          <w:i/>
          <w:iCs/>
          <w:color w:val="666666"/>
          <w:sz w:val="20"/>
          <w:szCs w:val="20"/>
        </w:rPr>
        <w:t xml:space="preserve">Source: “IEEE Xplore and Coursework classifications review” — Late chat</w:t>
      </w:r>
    </w:p>
    <w:p>
      <w:pPr>
        <w:pStyle w:val="Heading2"/>
      </w:pPr>
      <w:r>
        <w:rPr>
          <w:rFonts w:ascii="Arial" w:cs="Arial" w:eastAsia="Arial" w:hAnsi="Arial"/>
        </w:rPr>
        <w:t xml:space="preserve">2.2 Database queries and query design</w:t>
      </w:r>
    </w:p>
    <w:p>
      <w:pPr>
        <w:pStyle w:val="ListParagraph"/>
        <w:numPr>
          <w:ilvl w:val="0"/>
          <w:numId w:val="2"/>
        </w:numPr>
        <w:spacing w:after="80"/>
      </w:pPr>
      <w:r>
        <w:rPr>
          <w:rFonts w:ascii="Arial" w:cs="Arial" w:eastAsia="Arial" w:hAnsi="Arial"/>
          <w:sz w:val="22"/>
          <w:szCs w:val="22"/>
        </w:rPr>
        <w:t xml:space="preserve">Recall takes priority over precision at the search stage. Loosening exact-phrase matching in favour of Boolean cluster combinations is appropriate; precision addressed downstream in screening.</w:t>
      </w:r>
    </w:p>
    <w:p>
      <w:pPr>
        <w:pStyle w:val="ListParagraph"/>
        <w:numPr>
          <w:ilvl w:val="1"/>
          <w:numId w:val="2"/>
        </w:numPr>
        <w:spacing w:after="120"/>
      </w:pPr>
      <w:r>
        <w:rPr>
          <w:rFonts w:ascii="Arial" w:cs="Arial" w:eastAsia="Arial" w:hAnsi="Arial"/>
          <w:i/>
          <w:iCs/>
          <w:color w:val="666666"/>
          <w:sz w:val="20"/>
          <w:szCs w:val="20"/>
        </w:rPr>
        <w:t xml:space="preserve">Source: “Refining search query scope for AI code generation security” — Early chat</w:t>
      </w:r>
    </w:p>
    <w:p>
      <w:pPr>
        <w:pStyle w:val="ListParagraph"/>
        <w:numPr>
          <w:ilvl w:val="0"/>
          <w:numId w:val="2"/>
        </w:numPr>
        <w:spacing w:after="80"/>
      </w:pPr>
      <w:r>
        <w:rPr>
          <w:rFonts w:ascii="Arial" w:cs="Arial" w:eastAsia="Arial" w:hAnsi="Arial"/>
          <w:sz w:val="22"/>
          <w:szCs w:val="22"/>
        </w:rPr>
        <w:t xml:space="preserve">“Vibe coding” should be treated as a phrase (coined term, Karpathy Feb 2025); broader concepts like “AI code generation” should not be phrase-locked.</w:t>
      </w:r>
    </w:p>
    <w:p>
      <w:pPr>
        <w:pStyle w:val="ListParagraph"/>
        <w:numPr>
          <w:ilvl w:val="1"/>
          <w:numId w:val="2"/>
        </w:numPr>
        <w:spacing w:after="120"/>
      </w:pPr>
      <w:r>
        <w:rPr>
          <w:rFonts w:ascii="Arial" w:cs="Arial" w:eastAsia="Arial" w:hAnsi="Arial"/>
          <w:i/>
          <w:iCs/>
          <w:color w:val="666666"/>
          <w:sz w:val="20"/>
          <w:szCs w:val="20"/>
        </w:rPr>
        <w:t xml:space="preserve">Source: “Refining search query scope for AI code generation security” — Early chat</w:t>
      </w:r>
    </w:p>
    <w:p>
      <w:pPr>
        <w:pStyle w:val="ListParagraph"/>
        <w:numPr>
          <w:ilvl w:val="0"/>
          <w:numId w:val="2"/>
        </w:numPr>
        <w:spacing w:after="80"/>
      </w:pPr>
      <w:r>
        <w:rPr>
          <w:rFonts w:ascii="Arial" w:cs="Arial" w:eastAsia="Arial" w:hAnsi="Arial"/>
          <w:sz w:val="22"/>
          <w:szCs w:val="22"/>
        </w:rPr>
        <w:t xml:space="preserve">Document the 22 numbered queries already executed, organized into 6 thematic categories: AI Code Risk &amp; Security (Q1–5), AI Code Quality &amp; Debt (Q6–7), Human Oversight &amp; Capacity (Q8–11), Org Governance &amp; Policy (Q12–15), Org Risk Recognition (Q16), and Tool-Specific (Q17–22). All filtered to 2020+.</w:t>
      </w:r>
    </w:p>
    <w:p>
      <w:pPr>
        <w:pStyle w:val="ListParagraph"/>
        <w:numPr>
          <w:ilvl w:val="1"/>
          <w:numId w:val="2"/>
        </w:numPr>
        <w:spacing w:after="120"/>
      </w:pPr>
      <w:r>
        <w:rPr>
          <w:rFonts w:ascii="Arial" w:cs="Arial" w:eastAsia="Arial" w:hAnsi="Arial"/>
          <w:i/>
          <w:iCs/>
          <w:color w:val="666666"/>
          <w:sz w:val="20"/>
          <w:szCs w:val="20"/>
        </w:rPr>
        <w:t xml:space="preserve">Source: “Refining search query scope for AI code generation security” — Mid-chat</w:t>
      </w:r>
    </w:p>
    <w:p>
      <w:pPr>
        <w:pStyle w:val="ListParagraph"/>
        <w:numPr>
          <w:ilvl w:val="0"/>
          <w:numId w:val="2"/>
        </w:numPr>
        <w:spacing w:after="80"/>
      </w:pPr>
      <w:r>
        <w:rPr>
          <w:rFonts w:ascii="Arial" w:cs="Arial" w:eastAsia="Arial" w:hAnsi="Arial"/>
          <w:sz w:val="22"/>
          <w:szCs w:val="22"/>
        </w:rPr>
        <w:t xml:space="preserve">NEW (2026-05-21): Seven additional queries from AI House panel (Q-IEX-23, Q-ACM-07, Q-SCO-06, Q-arXiv-06 — multi-agent adversarial oversight; Q-SCO-07 — prompts-as-artifact governance; Q-IEX-24, Q-ACM-08 — prompts-as-artifact technical reproducibility). All in Human Oversight &amp; Capacity category. Screening prompts UNCHANGED — these are vocabulary additions, not criteria changes. After Pass 1, targeted spot-check of Discard pile from Q-SCO-07/Q-IEX-24/Q-ACM-08 for prompt-versioning items dropped as wrong-level/wrong-type.</w:t>
      </w:r>
    </w:p>
    <w:p>
      <w:pPr>
        <w:pStyle w:val="ListParagraph"/>
        <w:numPr>
          <w:ilvl w:val="1"/>
          <w:numId w:val="2"/>
        </w:numPr>
        <w:spacing w:after="120"/>
      </w:pPr>
      <w:r>
        <w:rPr>
          <w:rFonts w:ascii="Arial" w:cs="Arial" w:eastAsia="Arial" w:hAnsi="Arial"/>
          <w:i/>
          <w:iCs/>
          <w:color w:val="666666"/>
          <w:sz w:val="20"/>
          <w:szCs w:val="20"/>
        </w:rPr>
        <w:t xml:space="preserve">Source: AI House panel session; methodological decision documented 2026-05-21</w:t>
      </w:r>
    </w:p>
    <w:p>
      <w:pPr>
        <w:pStyle w:val="ListParagraph"/>
        <w:numPr>
          <w:ilvl w:val="0"/>
          <w:numId w:val="2"/>
        </w:numPr>
        <w:spacing w:after="80"/>
      </w:pPr>
      <w:r>
        <w:rPr>
          <w:rFonts w:ascii="Arial" w:cs="Arial" w:eastAsia="Arial" w:hAnsi="Arial"/>
          <w:sz w:val="22"/>
          <w:szCs w:val="22"/>
        </w:rPr>
        <w:t xml:space="preserve">NEW: Agentic SDLC / ADLC back-fill query cluster — emerging grey-lit term (CodeRabbit, Sonar, Cisco Outshift, Thoughtworks, PwC, asdlc.io). Phrase-lock spelled-out forms; “ADLC” alone is noisy. Maps to Human Oversight + Org Governance RQs. Run after AI House queries complete.</w:t>
      </w:r>
    </w:p>
    <w:p>
      <w:pPr>
        <w:pStyle w:val="ListParagraph"/>
        <w:numPr>
          <w:ilvl w:val="1"/>
          <w:numId w:val="2"/>
        </w:numPr>
        <w:spacing w:after="120"/>
      </w:pPr>
      <w:r>
        <w:rPr>
          <w:rFonts w:ascii="Arial" w:cs="Arial" w:eastAsia="Arial" w:hAnsi="Arial"/>
          <w:i/>
          <w:iCs/>
          <w:color w:val="666666"/>
          <w:sz w:val="20"/>
          <w:szCs w:val="20"/>
        </w:rPr>
        <w:t xml:space="preserve">Source: Pipeline planning session, 2026</w:t>
      </w:r>
    </w:p>
    <w:p>
      <w:pPr>
        <w:pStyle w:val="ListParagraph"/>
        <w:numPr>
          <w:ilvl w:val="0"/>
          <w:numId w:val="2"/>
        </w:numPr>
        <w:spacing w:after="80"/>
      </w:pPr>
      <w:r>
        <w:rPr>
          <w:rFonts w:ascii="Arial" w:cs="Arial" w:eastAsia="Arial" w:hAnsi="Arial"/>
          <w:sz w:val="22"/>
          <w:szCs w:val="22"/>
        </w:rPr>
        <w:t xml:space="preserve">Document the ABI/Inform-to-Scopus pivot with 37× calibration differential as the justification: diagnostic calibration query returned 3 hits in ABI versus 110 in equivalent Scopus query.</w:t>
      </w:r>
    </w:p>
    <w:p>
      <w:pPr>
        <w:pStyle w:val="ListParagraph"/>
        <w:numPr>
          <w:ilvl w:val="1"/>
          <w:numId w:val="2"/>
        </w:numPr>
        <w:spacing w:after="120"/>
      </w:pPr>
      <w:r>
        <w:rPr>
          <w:rFonts w:ascii="Arial" w:cs="Arial" w:eastAsia="Arial" w:hAnsi="Arial"/>
          <w:i/>
          <w:iCs/>
          <w:color w:val="666666"/>
          <w:sz w:val="20"/>
          <w:szCs w:val="20"/>
        </w:rPr>
        <w:t xml:space="preserve">Source: “IEEE Xplore and Coursework classifications review” — Mid-late chat</w:t>
      </w:r>
    </w:p>
    <w:p>
      <w:pPr>
        <w:pStyle w:val="ListParagraph"/>
        <w:numPr>
          <w:ilvl w:val="0"/>
          <w:numId w:val="2"/>
        </w:numPr>
        <w:spacing w:after="80"/>
      </w:pPr>
      <w:r>
        <w:rPr>
          <w:rFonts w:ascii="Arial" w:cs="Arial" w:eastAsia="Arial" w:hAnsi="Arial"/>
          <w:sz w:val="22"/>
          <w:szCs w:val="22"/>
        </w:rPr>
        <w:t xml:space="preserve">Do NOT apply full-text-availability filters at search stage. Records unretrievable after reasonable effort are excluded later at full-text screening with reason “not-retrievable.” Acceptable filters: peer-reviewed (yes), date range (2020–2026).</w:t>
      </w:r>
    </w:p>
    <w:p>
      <w:pPr>
        <w:pStyle w:val="ListParagraph"/>
        <w:numPr>
          <w:ilvl w:val="1"/>
          <w:numId w:val="2"/>
        </w:numPr>
        <w:spacing w:after="120"/>
      </w:pPr>
      <w:r>
        <w:rPr>
          <w:rFonts w:ascii="Arial" w:cs="Arial" w:eastAsia="Arial" w:hAnsi="Arial"/>
          <w:i/>
          <w:iCs/>
          <w:color w:val="666666"/>
          <w:sz w:val="20"/>
          <w:szCs w:val="20"/>
        </w:rPr>
        <w:t xml:space="preserve">Source: “IEEE Xplore and Coursework classifications review” — Mid-chat</w:t>
      </w:r>
    </w:p>
    <w:p>
      <w:pPr>
        <w:pStyle w:val="Heading2"/>
      </w:pPr>
      <w:r>
        <w:rPr>
          <w:rFonts w:ascii="Arial" w:cs="Arial" w:eastAsia="Arial" w:hAnsi="Arial"/>
        </w:rPr>
        <w:t xml:space="preserve">2.3 Curated grey-literature streams (Coursework and Practitioner Network)</w:t>
      </w:r>
    </w:p>
    <w:p>
      <w:pPr>
        <w:pStyle w:val="ListParagraph"/>
        <w:numPr>
          <w:ilvl w:val="0"/>
          <w:numId w:val="2"/>
        </w:numPr>
        <w:spacing w:after="80"/>
      </w:pPr>
      <w:r>
        <w:rPr>
          <w:rFonts w:ascii="Arial" w:cs="Arial" w:eastAsia="Arial" w:hAnsi="Arial"/>
          <w:sz w:val="22"/>
          <w:szCs w:val="22"/>
        </w:rPr>
        <w:t xml:space="preserve">Document Coursework as “records identified through prior author engagement with the field” — NOT committee-curated. Apply two author-specific exclusion rules: (a) documents authored by the reviewer are excluded; (b) course-platform pages (Purdue Brightspace URLs) are excluded as non-citable instructional material.</w:t>
      </w:r>
    </w:p>
    <w:p>
      <w:pPr>
        <w:pStyle w:val="ListParagraph"/>
        <w:numPr>
          <w:ilvl w:val="1"/>
          <w:numId w:val="2"/>
        </w:numPr>
        <w:spacing w:after="120"/>
      </w:pPr>
      <w:r>
        <w:rPr>
          <w:rFonts w:ascii="Arial" w:cs="Arial" w:eastAsia="Arial" w:hAnsi="Arial"/>
          <w:i/>
          <w:iCs/>
          <w:color w:val="666666"/>
          <w:sz w:val="20"/>
          <w:szCs w:val="20"/>
        </w:rPr>
        <w:t xml:space="preserve">Source: “IEEE Xplore and Coursework classifications review” — Mid-chat</w:t>
      </w:r>
    </w:p>
    <w:p>
      <w:pPr>
        <w:pStyle w:val="ListParagraph"/>
        <w:numPr>
          <w:ilvl w:val="0"/>
          <w:numId w:val="2"/>
        </w:numPr>
        <w:spacing w:after="80"/>
      </w:pPr>
      <w:r>
        <w:rPr>
          <w:rFonts w:ascii="Arial" w:cs="Arial" w:eastAsia="Arial" w:hAnsi="Arial"/>
          <w:sz w:val="22"/>
          <w:szCs w:val="22"/>
        </w:rPr>
        <w:t xml:space="preserve">Grey literature inclusion criteria: (1) named authorship with verifiable standing; (2) substantive claim beyond opinion (data, framework, case study, defined practice); (3) archivable and citable (Wayback capture at time of inclusion); (4) categorizable as industry report, practitioner framework, expert commentary, or case study.</w:t>
      </w:r>
    </w:p>
    <w:p>
      <w:pPr>
        <w:pStyle w:val="ListParagraph"/>
        <w:numPr>
          <w:ilvl w:val="1"/>
          <w:numId w:val="2"/>
        </w:numPr>
        <w:spacing w:after="120"/>
      </w:pPr>
      <w:r>
        <w:rPr>
          <w:rFonts w:ascii="Arial" w:cs="Arial" w:eastAsia="Arial" w:hAnsi="Arial"/>
          <w:i/>
          <w:iCs/>
          <w:color w:val="666666"/>
          <w:sz w:val="20"/>
          <w:szCs w:val="20"/>
        </w:rPr>
        <w:t xml:space="preserve">Source: “IEEE Xplore and Coursework classifications review” — Mid-chat</w:t>
      </w:r>
    </w:p>
    <w:p>
      <w:pPr>
        <w:pStyle w:val="ListParagraph"/>
        <w:numPr>
          <w:ilvl w:val="0"/>
          <w:numId w:val="2"/>
        </w:numPr>
        <w:spacing w:after="80"/>
      </w:pPr>
      <w:r>
        <w:rPr>
          <w:rFonts w:ascii="Arial" w:cs="Arial" w:eastAsia="Arial" w:hAnsi="Arial"/>
          <w:sz w:val="22"/>
          <w:szCs w:val="22"/>
        </w:rPr>
        <w:t xml:space="preserve">Cap practitioner-stream count (e.g., 20–30 industry sources). Tag grey-lit items distinctly (e.g., grey-lit tag) for transparent synthesis reporting.</w:t>
      </w:r>
    </w:p>
    <w:p>
      <w:pPr>
        <w:pStyle w:val="ListParagraph"/>
        <w:numPr>
          <w:ilvl w:val="1"/>
          <w:numId w:val="2"/>
        </w:numPr>
        <w:spacing w:after="120"/>
      </w:pPr>
      <w:r>
        <w:rPr>
          <w:rFonts w:ascii="Arial" w:cs="Arial" w:eastAsia="Arial" w:hAnsi="Arial"/>
          <w:i/>
          <w:iCs/>
          <w:color w:val="666666"/>
          <w:sz w:val="20"/>
          <w:szCs w:val="20"/>
        </w:rPr>
        <w:t xml:space="preserve">Source: “IEEE Xplore and Coursework classifications review” — Mid-chat</w:t>
      </w:r>
    </w:p>
    <w:p>
      <w:pPr>
        <w:pStyle w:val="Heading2"/>
      </w:pPr>
      <w:r>
        <w:rPr>
          <w:rFonts w:ascii="Arial" w:cs="Arial" w:eastAsia="Arial" w:hAnsi="Arial"/>
        </w:rPr>
        <w:t xml:space="preserve">2.4 Saturation argument and database sufficiency</w:t>
      </w:r>
    </w:p>
    <w:p>
      <w:pPr>
        <w:pStyle w:val="ListParagraph"/>
        <w:numPr>
          <w:ilvl w:val="0"/>
          <w:numId w:val="2"/>
        </w:numPr>
        <w:spacing w:after="80"/>
      </w:pPr>
      <w:r>
        <w:rPr>
          <w:rFonts w:ascii="Arial" w:cs="Arial" w:eastAsia="Arial" w:hAnsi="Arial"/>
          <w:sz w:val="22"/>
          <w:szCs w:val="22"/>
        </w:rPr>
        <w:t xml:space="preserve">Use WoS dedupe rate as evidence of saturation: 65% overlap against existing IEEE+ACM+Scopus+arXiv corpus supports a methods-chapter statement that the multi-database strategy reached a reasonable saturation level.</w:t>
      </w:r>
    </w:p>
    <w:p>
      <w:pPr>
        <w:pStyle w:val="ListParagraph"/>
        <w:numPr>
          <w:ilvl w:val="1"/>
          <w:numId w:val="2"/>
        </w:numPr>
        <w:spacing w:after="120"/>
      </w:pPr>
      <w:r>
        <w:rPr>
          <w:rFonts w:ascii="Arial" w:cs="Arial" w:eastAsia="Arial" w:hAnsi="Arial"/>
          <w:i/>
          <w:iCs/>
          <w:color w:val="666666"/>
          <w:sz w:val="20"/>
          <w:szCs w:val="20"/>
        </w:rPr>
        <w:t xml:space="preserve">Source: “Vibe Coding Governance SLR arXiv import setup” — Mid-chat</w:t>
      </w:r>
    </w:p>
    <w:p>
      <w:r>
        <w:t xml:space="preserve"/>
      </w:r>
    </w:p>
    <w:p>
      <w:pPr>
        <w:pStyle w:val="Heading1"/>
      </w:pPr>
      <w:r>
        <w:rPr>
          <w:rFonts w:ascii="Arial" w:cs="Arial" w:eastAsia="Arial" w:hAnsi="Arial"/>
        </w:rPr>
        <w:t xml:space="preserve">3. Screening and Classification</w:t>
      </w:r>
    </w:p>
    <w:p>
      <w:pPr>
        <w:pStyle w:val="Heading2"/>
      </w:pPr>
      <w:r>
        <w:rPr>
          <w:rFonts w:ascii="Arial" w:cs="Arial" w:eastAsia="Arial" w:hAnsi="Arial"/>
        </w:rPr>
        <w:t xml:space="preserve">3.1 Single-coder protocol and bias controls</w:t>
      </w:r>
    </w:p>
    <w:p>
      <w:pPr>
        <w:pStyle w:val="ListParagraph"/>
        <w:numPr>
          <w:ilvl w:val="0"/>
          <w:numId w:val="2"/>
        </w:numPr>
        <w:spacing w:after="80"/>
      </w:pPr>
      <w:r>
        <w:rPr>
          <w:rFonts w:ascii="Arial" w:cs="Arial" w:eastAsia="Arial" w:hAnsi="Arial"/>
          <w:sz w:val="22"/>
          <w:szCs w:val="22"/>
        </w:rPr>
        <w:t xml:space="preserve">Document that screening is performed by a single coder, with a calibration session on the first 10–15 articles followed by a consistency review. Maintain a decision log with one-sentence rationales on non-obvious calls (~20–30% of articles).</w:t>
      </w:r>
    </w:p>
    <w:p>
      <w:pPr>
        <w:pStyle w:val="ListParagraph"/>
        <w:numPr>
          <w:ilvl w:val="1"/>
          <w:numId w:val="2"/>
        </w:numPr>
        <w:spacing w:after="120"/>
      </w:pPr>
      <w:r>
        <w:rPr>
          <w:rFonts w:ascii="Arial" w:cs="Arial" w:eastAsia="Arial" w:hAnsi="Arial"/>
          <w:i/>
          <w:iCs/>
          <w:color w:val="666666"/>
          <w:sz w:val="20"/>
          <w:szCs w:val="20"/>
        </w:rPr>
        <w:t xml:space="preserve">Source: “RIS file classification and tagging principles” — Mid-chat</w:t>
      </w:r>
    </w:p>
    <w:p>
      <w:pPr>
        <w:pStyle w:val="ListParagraph"/>
        <w:numPr>
          <w:ilvl w:val="0"/>
          <w:numId w:val="2"/>
        </w:numPr>
        <w:spacing w:after="80"/>
      </w:pPr>
      <w:r>
        <w:rPr>
          <w:rFonts w:ascii="Arial" w:cs="Arial" w:eastAsia="Arial" w:hAnsi="Arial"/>
          <w:sz w:val="22"/>
          <w:szCs w:val="22"/>
        </w:rPr>
        <w:t xml:space="preserve">Two verification samples per screening pass: (1) Trust check — stratified 20/category, unblinded, gating pre-apply (≤5% disagree→apply; 5–15%→apply+document; ≥15%→stop); (2) Methodology validation — random N=100, BLINDED, for Cohen’s κ. Blinding non-negotiable. Pass 2 trust check result: κ=0.79.</w:t>
      </w:r>
    </w:p>
    <w:p>
      <w:pPr>
        <w:pStyle w:val="ListParagraph"/>
        <w:numPr>
          <w:ilvl w:val="1"/>
          <w:numId w:val="2"/>
        </w:numPr>
        <w:spacing w:after="120"/>
      </w:pPr>
      <w:r>
        <w:rPr>
          <w:rFonts w:ascii="Arial" w:cs="Arial" w:eastAsia="Arial" w:hAnsi="Arial"/>
          <w:i/>
          <w:iCs/>
          <w:color w:val="666666"/>
          <w:sz w:val="20"/>
          <w:szCs w:val="20"/>
        </w:rPr>
        <w:t xml:space="preserve">Source: Pipeline methodology sessions; most recent screening pass</w:t>
      </w:r>
    </w:p>
    <w:p>
      <w:pPr>
        <w:pStyle w:val="Heading2"/>
      </w:pPr>
      <w:r>
        <w:rPr>
          <w:rFonts w:ascii="Arial" w:cs="Arial" w:eastAsia="Arial" w:hAnsi="Arial"/>
        </w:rPr>
        <w:t xml:space="preserve">3.2 Two-pass screening workflow</w:t>
      </w:r>
    </w:p>
    <w:p>
      <w:pPr>
        <w:pStyle w:val="ListParagraph"/>
        <w:numPr>
          <w:ilvl w:val="0"/>
          <w:numId w:val="2"/>
        </w:numPr>
        <w:spacing w:after="80"/>
      </w:pPr>
      <w:r>
        <w:rPr>
          <w:rFonts w:ascii="Arial" w:cs="Arial" w:eastAsia="Arial" w:hAnsi="Arial"/>
          <w:sz w:val="22"/>
          <w:szCs w:val="22"/>
        </w:rPr>
        <w:t xml:space="preserve">Pass 1 (title/abstract): recall-favoring; screens for obvious excludes only. Pass 2 (full-text): applies operationalizability filter. The 73% Pass-2 rejection rate is by design — methods chapter must distinguish “73% of Pass-1-Keep” (tightening) from “73% of corpus” (collapse).</w:t>
      </w:r>
    </w:p>
    <w:p>
      <w:pPr>
        <w:pStyle w:val="ListParagraph"/>
        <w:numPr>
          <w:ilvl w:val="1"/>
          <w:numId w:val="2"/>
        </w:numPr>
        <w:spacing w:after="120"/>
      </w:pPr>
      <w:r>
        <w:rPr>
          <w:rFonts w:ascii="Arial" w:cs="Arial" w:eastAsia="Arial" w:hAnsi="Arial"/>
          <w:i/>
          <w:iCs/>
          <w:color w:val="666666"/>
          <w:sz w:val="20"/>
          <w:szCs w:val="20"/>
        </w:rPr>
        <w:t xml:space="preserve">Source: Pipeline methodology sessions</w:t>
      </w:r>
    </w:p>
    <w:p>
      <w:pPr>
        <w:pStyle w:val="ListParagraph"/>
        <w:numPr>
          <w:ilvl w:val="0"/>
          <w:numId w:val="2"/>
        </w:numPr>
        <w:spacing w:after="80"/>
      </w:pPr>
      <w:r>
        <w:rPr>
          <w:rFonts w:ascii="Arial" w:cs="Arial" w:eastAsia="Arial" w:hAnsi="Arial"/>
          <w:sz w:val="22"/>
          <w:szCs w:val="22"/>
        </w:rPr>
        <w:t xml:space="preserve">Pass 2 rubric (final): Keep if operationalizable. T1 Core: vibe coding; code review scalability; AI code risk+measurement; org governance; developer oversight; LLM-as-judge/adversarial agents as oversight trigger. T2 Context: human oversight; AI governance+DevSecOps; regulatory org implementation; legal liability org response; scalable oversight any pipeline stage. Default-to-keep; maybe = thin abstract only.</w:t>
      </w:r>
    </w:p>
    <w:p>
      <w:pPr>
        <w:pStyle w:val="ListParagraph"/>
        <w:numPr>
          <w:ilvl w:val="1"/>
          <w:numId w:val="2"/>
        </w:numPr>
        <w:spacing w:after="120"/>
      </w:pPr>
      <w:r>
        <w:rPr>
          <w:rFonts w:ascii="Arial" w:cs="Arial" w:eastAsia="Arial" w:hAnsi="Arial"/>
          <w:i/>
          <w:iCs/>
          <w:color w:val="666666"/>
          <w:sz w:val="20"/>
          <w:szCs w:val="20"/>
        </w:rPr>
        <w:t xml:space="preserve">Source: Pass 2 rubric finalization session</w:t>
      </w:r>
    </w:p>
    <w:p>
      <w:pPr>
        <w:pStyle w:val="Heading2"/>
      </w:pPr>
      <w:r>
        <w:rPr>
          <w:rFonts w:ascii="Arial" w:cs="Arial" w:eastAsia="Arial" w:hAnsi="Arial"/>
        </w:rPr>
        <w:t xml:space="preserve">3.3 Exclusion reason codes</w:t>
      </w:r>
    </w:p>
    <w:p>
      <w:pPr>
        <w:pStyle w:val="ListParagraph"/>
        <w:numPr>
          <w:ilvl w:val="0"/>
          <w:numId w:val="2"/>
        </w:numPr>
        <w:spacing w:after="80"/>
      </w:pPr>
      <w:r>
        <w:rPr>
          <w:rFonts w:ascii="Arial" w:cs="Arial" w:eastAsia="Arial" w:hAnsi="Arial"/>
          <w:sz w:val="22"/>
          <w:szCs w:val="22"/>
        </w:rPr>
        <w:t xml:space="preserve">Fixed list, one primary reason per record: out-of-scope, wrong-level (technical without organizational/human dimension), wrong-type (opinion piece without evidence base), too-old (pre-LLM era unless foundational theory), duplicate, not-retrievable, quality-threshold-not-met.</w:t>
      </w:r>
    </w:p>
    <w:p>
      <w:pPr>
        <w:pStyle w:val="ListParagraph"/>
        <w:numPr>
          <w:ilvl w:val="1"/>
          <w:numId w:val="2"/>
        </w:numPr>
        <w:spacing w:after="120"/>
      </w:pPr>
      <w:r>
        <w:rPr>
          <w:rFonts w:ascii="Arial" w:cs="Arial" w:eastAsia="Arial" w:hAnsi="Arial"/>
          <w:i/>
          <w:iCs/>
          <w:color w:val="666666"/>
          <w:sz w:val="20"/>
          <w:szCs w:val="20"/>
        </w:rPr>
        <w:t xml:space="preserve">Source: “Systematic literature review on AI-generated code risk management” — Mid-chat</w:t>
      </w:r>
    </w:p>
    <w:p>
      <w:pPr>
        <w:pStyle w:val="ListParagraph"/>
        <w:numPr>
          <w:ilvl w:val="0"/>
          <w:numId w:val="2"/>
        </w:numPr>
        <w:spacing w:after="80"/>
      </w:pPr>
      <w:r>
        <w:rPr>
          <w:rFonts w:ascii="Arial" w:cs="Arial" w:eastAsia="Arial" w:hAnsi="Arial"/>
          <w:sz w:val="22"/>
          <w:szCs w:val="22"/>
        </w:rPr>
        <w:t xml:space="preserve">Author-specific exclusion rules: (a) documents authored by Scott Thurlow → Discard; (b) Purdue Brightspace URLs → Discard. Both listed in methods-chapter exclusion criteria.</w:t>
      </w:r>
    </w:p>
    <w:p>
      <w:pPr>
        <w:pStyle w:val="ListParagraph"/>
        <w:numPr>
          <w:ilvl w:val="1"/>
          <w:numId w:val="2"/>
        </w:numPr>
        <w:spacing w:after="120"/>
      </w:pPr>
      <w:r>
        <w:rPr>
          <w:rFonts w:ascii="Arial" w:cs="Arial" w:eastAsia="Arial" w:hAnsi="Arial"/>
          <w:i/>
          <w:iCs/>
          <w:color w:val="666666"/>
          <w:sz w:val="20"/>
          <w:szCs w:val="20"/>
        </w:rPr>
        <w:t xml:space="preserve">Source: “IEEE Xplore and Coursework classifications review” — Mid-chat</w:t>
      </w:r>
    </w:p>
    <w:p>
      <w:pPr>
        <w:pStyle w:val="Heading2"/>
      </w:pPr>
      <w:r>
        <w:rPr>
          <w:rFonts w:ascii="Arial" w:cs="Arial" w:eastAsia="Arial" w:hAnsi="Arial"/>
        </w:rPr>
        <w:t xml:space="preserve">3.4 Cross-model validation</w:t>
      </w:r>
    </w:p>
    <w:p>
      <w:pPr>
        <w:pStyle w:val="ListParagraph"/>
        <w:numPr>
          <w:ilvl w:val="0"/>
          <w:numId w:val="2"/>
        </w:numPr>
        <w:spacing w:after="80"/>
      </w:pPr>
      <w:r>
        <w:rPr>
          <w:rFonts w:ascii="Arial" w:cs="Arial" w:eastAsia="Arial" w:hAnsi="Arial"/>
          <w:sz w:val="22"/>
          <w:szCs w:val="22"/>
        </w:rPr>
        <w:t xml:space="preserve">Gemini Flash is NOT a reliable validator — batches had ~98% hallucinated item keys in non-SSRN runs; only re-prompted batches returned valid keys. Key validation check required after each batch. Use Gemini Advanced, not Flash.</w:t>
      </w:r>
    </w:p>
    <w:p>
      <w:pPr>
        <w:pStyle w:val="ListParagraph"/>
        <w:numPr>
          <w:ilvl w:val="1"/>
          <w:numId w:val="2"/>
        </w:numPr>
        <w:spacing w:after="120"/>
      </w:pPr>
      <w:r>
        <w:rPr>
          <w:rFonts w:ascii="Arial" w:cs="Arial" w:eastAsia="Arial" w:hAnsi="Arial"/>
          <w:i/>
          <w:iCs/>
          <w:color w:val="666666"/>
          <w:sz w:val="20"/>
          <w:szCs w:val="20"/>
        </w:rPr>
        <w:t xml:space="preserve">Source: Cross-model validation sessions</w:t>
      </w:r>
    </w:p>
    <w:p>
      <w:pPr>
        <w:pStyle w:val="ListParagraph"/>
        <w:numPr>
          <w:ilvl w:val="0"/>
          <w:numId w:val="2"/>
        </w:numPr>
        <w:spacing w:after="80"/>
      </w:pPr>
      <w:r>
        <w:rPr>
          <w:rFonts w:ascii="Arial" w:cs="Arial" w:eastAsia="Arial" w:hAnsi="Arial"/>
          <w:sz w:val="22"/>
          <w:szCs w:val="22"/>
        </w:rPr>
        <w:t xml:space="preserve">Run Gemini + GPT-4o screening passes (in addition to Claude Sonnet) on all new query results.</w:t>
      </w:r>
    </w:p>
    <w:p>
      <w:pPr>
        <w:pStyle w:val="ListParagraph"/>
        <w:numPr>
          <w:ilvl w:val="1"/>
          <w:numId w:val="2"/>
        </w:numPr>
        <w:spacing w:after="120"/>
      </w:pPr>
      <w:r>
        <w:rPr>
          <w:rFonts w:ascii="Arial" w:cs="Arial" w:eastAsia="Arial" w:hAnsi="Arial"/>
          <w:i/>
          <w:iCs/>
          <w:color w:val="666666"/>
          <w:sz w:val="20"/>
          <w:szCs w:val="20"/>
        </w:rPr>
        <w:t xml:space="preserve">Source: Planned next steps, 2026</w:t>
      </w:r>
    </w:p>
    <w:p>
      <w:r>
        <w:t xml:space="preserve"/>
      </w:r>
    </w:p>
    <w:p>
      <w:pPr>
        <w:pStyle w:val="Heading1"/>
      </w:pPr>
      <w:r>
        <w:rPr>
          <w:rFonts w:ascii="Arial" w:cs="Arial" w:eastAsia="Arial" w:hAnsi="Arial"/>
        </w:rPr>
        <w:t xml:space="preserve">4. Tools and Data Management</w:t>
      </w:r>
    </w:p>
    <w:p>
      <w:pPr>
        <w:pStyle w:val="Heading2"/>
      </w:pPr>
      <w:r>
        <w:rPr>
          <w:rFonts w:ascii="Arial" w:cs="Arial" w:eastAsia="Arial" w:hAnsi="Arial"/>
        </w:rPr>
        <w:t xml:space="preserve">4.1 Reference manager and screening tool</w:t>
      </w:r>
    </w:p>
    <w:p>
      <w:pPr>
        <w:pStyle w:val="ListParagraph"/>
        <w:numPr>
          <w:ilvl w:val="0"/>
          <w:numId w:val="2"/>
        </w:numPr>
        <w:spacing w:after="80"/>
      </w:pPr>
      <w:r>
        <w:rPr>
          <w:rFonts w:ascii="Arial" w:cs="Arial" w:eastAsia="Arial" w:hAnsi="Arial"/>
          <w:sz w:val="22"/>
          <w:szCs w:val="22"/>
        </w:rPr>
        <w:t xml:space="preserve">Zotero 8.0.5 as the screening platform. Justify on corpus scale (low thousands), existing familiarity, and ability to run full PRISMA workflow in-tool via tags/collections.</w:t>
      </w:r>
    </w:p>
    <w:p>
      <w:pPr>
        <w:pStyle w:val="ListParagraph"/>
        <w:numPr>
          <w:ilvl w:val="1"/>
          <w:numId w:val="2"/>
        </w:numPr>
        <w:spacing w:after="120"/>
      </w:pPr>
      <w:r>
        <w:rPr>
          <w:rFonts w:ascii="Arial" w:cs="Arial" w:eastAsia="Arial" w:hAnsi="Arial"/>
          <w:i/>
          <w:iCs/>
          <w:color w:val="666666"/>
          <w:sz w:val="20"/>
          <w:szCs w:val="20"/>
        </w:rPr>
        <w:t xml:space="preserve">Source: “Systematic literature review on AI-generated code risk management” — Late chat</w:t>
      </w:r>
    </w:p>
    <w:p>
      <w:pPr>
        <w:pStyle w:val="ListParagraph"/>
        <w:numPr>
          <w:ilvl w:val="0"/>
          <w:numId w:val="2"/>
        </w:numPr>
        <w:spacing w:after="80"/>
      </w:pPr>
      <w:r>
        <w:rPr>
          <w:rFonts w:ascii="Arial" w:cs="Arial" w:eastAsia="Arial" w:hAnsi="Arial"/>
          <w:sz w:val="22"/>
          <w:szCs w:val="22"/>
        </w:rPr>
        <w:t xml:space="preserve">STANDING RULE: Before ANY major Zotero write operation (––apply, bulk tag changes, dedup, collection restructuring) — export/backup Zotero via desktop client first (File → Export Library, BibTeX or RDF + Files). Even on scripts marketed as idempotent.</w:t>
      </w:r>
    </w:p>
    <w:p>
      <w:pPr>
        <w:pStyle w:val="ListParagraph"/>
        <w:numPr>
          <w:ilvl w:val="1"/>
          <w:numId w:val="2"/>
        </w:numPr>
        <w:spacing w:after="120"/>
      </w:pPr>
      <w:r>
        <w:rPr>
          <w:rFonts w:ascii="Arial" w:cs="Arial" w:eastAsia="Arial" w:hAnsi="Arial"/>
          <w:i/>
          <w:iCs/>
          <w:color w:val="666666"/>
          <w:sz w:val="20"/>
          <w:szCs w:val="20"/>
        </w:rPr>
        <w:t xml:space="preserve">Source: Established pipeline discipline</w:t>
      </w:r>
    </w:p>
    <w:p>
      <w:pPr>
        <w:pStyle w:val="ListParagraph"/>
        <w:numPr>
          <w:ilvl w:val="0"/>
          <w:numId w:val="2"/>
        </w:numPr>
        <w:spacing w:after="80"/>
      </w:pPr>
      <w:r>
        <w:rPr>
          <w:rFonts w:ascii="Arial" w:cs="Arial" w:eastAsia="Arial" w:hAnsi="Arial"/>
          <w:sz w:val="22"/>
          <w:szCs w:val="22"/>
        </w:rPr>
        <w:t xml:space="preserve">Zotero invariant: Items NEVER move out of 01-Imports collections — import membership is permanent provenance. 04-Superseded items are logical duplicates kept for audit/history; skip in restore operations.</w:t>
      </w:r>
    </w:p>
    <w:p>
      <w:pPr>
        <w:pStyle w:val="ListParagraph"/>
        <w:numPr>
          <w:ilvl w:val="1"/>
          <w:numId w:val="2"/>
        </w:numPr>
        <w:spacing w:after="120"/>
      </w:pPr>
      <w:r>
        <w:rPr>
          <w:rFonts w:ascii="Arial" w:cs="Arial" w:eastAsia="Arial" w:hAnsi="Arial"/>
          <w:i/>
          <w:iCs/>
          <w:color w:val="666666"/>
          <w:sz w:val="20"/>
          <w:szCs w:val="20"/>
        </w:rPr>
        <w:t xml:space="preserve">Source: Zotero data integrity rules</w:t>
      </w:r>
    </w:p>
    <w:p>
      <w:pPr>
        <w:pStyle w:val="Heading2"/>
      </w:pPr>
      <w:r>
        <w:rPr>
          <w:rFonts w:ascii="Arial" w:cs="Arial" w:eastAsia="Arial" w:hAnsi="Arial"/>
        </w:rPr>
        <w:t xml:space="preserve">4.2 SLR pipeline current state</w:t>
      </w:r>
    </w:p>
    <w:p>
      <w:pPr>
        <w:pStyle w:val="ListParagraph"/>
        <w:numPr>
          <w:ilvl w:val="0"/>
          <w:numId w:val="2"/>
        </w:numPr>
        <w:spacing w:after="80"/>
      </w:pPr>
      <w:r>
        <w:rPr>
          <w:rFonts w:ascii="Arial" w:cs="Arial" w:eastAsia="Arial" w:hAnsi="Arial"/>
          <w:sz w:val="22"/>
          <w:szCs w:val="22"/>
        </w:rPr>
        <w:t xml:space="preserve">Pass 1 restore: COMPLETE. applied=2890, apply_errors=0, fetch_failed=79 (SSRN merge-orphan 404s, benign), skipped_superseded=30.</w:t>
      </w:r>
    </w:p>
    <w:p>
      <w:pPr>
        <w:pStyle w:val="ListParagraph"/>
        <w:numPr>
          <w:ilvl w:val="0"/>
          <w:numId w:val="2"/>
        </w:numPr>
        <w:spacing w:after="80"/>
      </w:pPr>
      <w:r>
        <w:rPr>
          <w:rFonts w:ascii="Arial" w:cs="Arial" w:eastAsia="Arial" w:hAnsi="Arial"/>
          <w:sz w:val="22"/>
          <w:szCs w:val="22"/>
        </w:rPr>
        <w:t xml:space="preserve">Phase 2 collection population: IN PROGRESS. Script apply_phase2.py routes queue_export.csv (3,993 items) into 8 Phase 2 collections by source_queue × union decision. Dry-run pending review, then ––apply run.</w:t>
      </w:r>
    </w:p>
    <w:p>
      <w:pPr>
        <w:pStyle w:val="ListParagraph"/>
        <w:numPr>
          <w:ilvl w:val="1"/>
          <w:numId w:val="2"/>
        </w:numPr>
        <w:spacing w:after="120"/>
      </w:pPr>
      <w:r>
        <w:rPr>
          <w:rFonts w:ascii="Arial" w:cs="Arial" w:eastAsia="Arial" w:hAnsi="Arial"/>
          <w:i/>
          <w:iCs/>
          <w:color w:val="666666"/>
          <w:sz w:val="20"/>
          <w:szCs w:val="20"/>
        </w:rPr>
        <w:t xml:space="preserve">Source: Pipeline state as of 2026-06-07</w:t>
      </w:r>
    </w:p>
    <w:p>
      <w:pPr>
        <w:pStyle w:val="Heading2"/>
      </w:pPr>
      <w:r>
        <w:rPr>
          <w:rFonts w:ascii="Arial" w:cs="Arial" w:eastAsia="Arial" w:hAnsi="Arial"/>
        </w:rPr>
        <w:t xml:space="preserve">4.3 Search log and audit trail</w:t>
      </w:r>
    </w:p>
    <w:p>
      <w:pPr>
        <w:pStyle w:val="ListParagraph"/>
        <w:numPr>
          <w:ilvl w:val="0"/>
          <w:numId w:val="2"/>
        </w:numPr>
        <w:spacing w:after="80"/>
      </w:pPr>
      <w:r>
        <w:rPr>
          <w:rFonts w:ascii="Arial" w:cs="Arial" w:eastAsia="Arial" w:hAnsi="Arial"/>
          <w:sz w:val="22"/>
          <w:szCs w:val="22"/>
        </w:rPr>
        <w:t xml:space="preserve">Maintain Query_Composition_and_Log.xlsx with one row per query: query ID, category, database, search field, date run, hit count, and Notes column for methodological annotations.</w:t>
      </w:r>
    </w:p>
    <w:p>
      <w:pPr>
        <w:pStyle w:val="ListParagraph"/>
        <w:numPr>
          <w:ilvl w:val="1"/>
          <w:numId w:val="2"/>
        </w:numPr>
        <w:spacing w:after="120"/>
      </w:pPr>
      <w:r>
        <w:rPr>
          <w:rFonts w:ascii="Arial" w:cs="Arial" w:eastAsia="Arial" w:hAnsi="Arial"/>
          <w:i/>
          <w:iCs/>
          <w:color w:val="666666"/>
          <w:sz w:val="20"/>
          <w:szCs w:val="20"/>
        </w:rPr>
        <w:t xml:space="preserve">Source: “IEEE Xplore and Coursework classifications review” — Late chat</w:t>
      </w:r>
    </w:p>
    <w:p>
      <w:r>
        <w:t xml:space="preserve"/>
      </w:r>
    </w:p>
    <w:p>
      <w:pPr>
        <w:pStyle w:val="Heading1"/>
      </w:pPr>
      <w:r>
        <w:rPr>
          <w:rFonts w:ascii="Arial" w:cs="Arial" w:eastAsia="Arial" w:hAnsi="Arial"/>
        </w:rPr>
        <w:t xml:space="preserve">5. PRISMA Reporting and Counts</w:t>
      </w:r>
    </w:p>
    <w:p>
      <w:pPr>
        <w:pStyle w:val="Heading2"/>
      </w:pPr>
      <w:r>
        <w:rPr>
          <w:rFonts w:ascii="Arial" w:cs="Arial" w:eastAsia="Arial" w:hAnsi="Arial"/>
        </w:rPr>
        <w:t xml:space="preserve">5.1 PRISMA flow diagram</w:t>
      </w:r>
    </w:p>
    <w:p>
      <w:pPr>
        <w:pStyle w:val="ListParagraph"/>
        <w:numPr>
          <w:ilvl w:val="0"/>
          <w:numId w:val="2"/>
        </w:numPr>
        <w:spacing w:after="80"/>
      </w:pPr>
      <w:r>
        <w:rPr>
          <w:rFonts w:ascii="Arial" w:cs="Arial" w:eastAsia="Arial" w:hAnsi="Arial"/>
          <w:sz w:val="22"/>
          <w:szCs w:val="22"/>
        </w:rPr>
        <w:t xml:space="preserve">Separate identification streams visible: each database (IEEE, ACM, Scopus, WoS, arXiv) as its own column, plus Coursework and Practitioner Network as “other methods” streams. Coursework and prior knowledge enter at the deduplication stage, not the search stage.</w:t>
      </w:r>
    </w:p>
    <w:p>
      <w:pPr>
        <w:pStyle w:val="ListParagraph"/>
        <w:numPr>
          <w:ilvl w:val="1"/>
          <w:numId w:val="2"/>
        </w:numPr>
        <w:spacing w:after="120"/>
      </w:pPr>
      <w:r>
        <w:rPr>
          <w:rFonts w:ascii="Arial" w:cs="Arial" w:eastAsia="Arial" w:hAnsi="Arial"/>
          <w:i/>
          <w:iCs/>
          <w:color w:val="666666"/>
          <w:sz w:val="20"/>
          <w:szCs w:val="20"/>
        </w:rPr>
        <w:t xml:space="preserve">Source: “Systematic literature review on AI-generated code risk management” — Late chat</w:t>
      </w:r>
    </w:p>
    <w:p>
      <w:pPr>
        <w:pStyle w:val="Heading2"/>
      </w:pPr>
      <w:r>
        <w:rPr>
          <w:rFonts w:ascii="Arial" w:cs="Arial" w:eastAsia="Arial" w:hAnsi="Arial"/>
        </w:rPr>
        <w:t xml:space="preserve">5.2 Counting reliably</w:t>
      </w:r>
    </w:p>
    <w:p>
      <w:pPr>
        <w:pStyle w:val="ListParagraph"/>
        <w:numPr>
          <w:ilvl w:val="0"/>
          <w:numId w:val="2"/>
        </w:numPr>
        <w:spacing w:after="80"/>
      </w:pPr>
      <w:r>
        <w:rPr>
          <w:rFonts w:ascii="Arial" w:cs="Arial" w:eastAsia="Arial" w:hAnsi="Arial"/>
          <w:sz w:val="22"/>
          <w:szCs w:val="22"/>
        </w:rPr>
        <w:t xml:space="preserve">Be explicit about which count is being reported: unique top-level bibliographic records (deduplicated by item key) vs items (may include child attachments) vs per-query counts (may include cross-collection duplicates).</w:t>
      </w:r>
    </w:p>
    <w:p>
      <w:pPr>
        <w:pStyle w:val="ListParagraph"/>
        <w:numPr>
          <w:ilvl w:val="1"/>
          <w:numId w:val="2"/>
        </w:numPr>
        <w:spacing w:after="120"/>
      </w:pPr>
      <w:r>
        <w:rPr>
          <w:rFonts w:ascii="Arial" w:cs="Arial" w:eastAsia="Arial" w:hAnsi="Arial"/>
          <w:i/>
          <w:iCs/>
          <w:color w:val="666666"/>
          <w:sz w:val="20"/>
          <w:szCs w:val="20"/>
        </w:rPr>
        <w:t xml:space="preserve">Source: Zotero SKILL.md conventions</w:t>
      </w:r>
    </w:p>
    <w:p>
      <w:r>
        <w:t xml:space="preserve"/>
      </w:r>
    </w:p>
    <w:p>
      <w:pPr>
        <w:pStyle w:val="Heading1"/>
      </w:pPr>
      <w:r>
        <w:rPr>
          <w:rFonts w:ascii="Arial" w:cs="Arial" w:eastAsia="Arial" w:hAnsi="Arial"/>
        </w:rPr>
        <w:t xml:space="preserve">6. Synthesis Structure (Informs Methods Chapter Framing)</w:t>
      </w:r>
    </w:p>
    <w:p>
      <w:pPr>
        <w:pStyle w:val="Heading2"/>
      </w:pPr>
      <w:r>
        <w:rPr>
          <w:rFonts w:ascii="Arial" w:cs="Arial" w:eastAsia="Arial" w:hAnsi="Arial"/>
        </w:rPr>
        <w:t xml:space="preserve">6.1 Five thematic pillars</w:t>
      </w:r>
    </w:p>
    <w:p>
      <w:pPr>
        <w:pStyle w:val="ListParagraph"/>
        <w:numPr>
          <w:ilvl w:val="0"/>
          <w:numId w:val="2"/>
        </w:numPr>
        <w:spacing w:after="80"/>
      </w:pPr>
      <w:r>
        <w:rPr>
          <w:rFonts w:ascii="Arial" w:cs="Arial" w:eastAsia="Arial" w:hAnsi="Arial"/>
          <w:sz w:val="22"/>
          <w:szCs w:val="22"/>
        </w:rPr>
        <w:t xml:space="preserve">(1) The Vibe Coding Phenomenon; (2) The Risk Landscape; (3) Human Oversight and the Reviewer Capacity Problem; (4) Organizational Governance Responses (NIST AI 1001, EU AI Act, CISA, IAPP, Carmichael tiering); (5) Theoretical Synthesis and Research Gaps.</w:t>
      </w:r>
    </w:p>
    <w:p>
      <w:pPr>
        <w:pStyle w:val="ListParagraph"/>
        <w:numPr>
          <w:ilvl w:val="1"/>
          <w:numId w:val="2"/>
        </w:numPr>
        <w:spacing w:after="120"/>
      </w:pPr>
      <w:r>
        <w:rPr>
          <w:rFonts w:ascii="Arial" w:cs="Arial" w:eastAsia="Arial" w:hAnsi="Arial"/>
          <w:i/>
          <w:iCs/>
          <w:color w:val="666666"/>
          <w:sz w:val="20"/>
          <w:szCs w:val="20"/>
        </w:rPr>
        <w:t xml:space="preserve">Source: “Systematic literature review on AI-generated code risk management” — Mid-chat</w:t>
      </w:r>
    </w:p>
    <w:p>
      <w:pPr>
        <w:pStyle w:val="ListParagraph"/>
        <w:numPr>
          <w:ilvl w:val="0"/>
          <w:numId w:val="2"/>
        </w:numPr>
        <w:spacing w:after="80"/>
      </w:pPr>
      <w:r>
        <w:rPr>
          <w:rFonts w:ascii="Arial" w:cs="Arial" w:eastAsia="Arial" w:hAnsi="Arial"/>
          <w:sz w:val="22"/>
          <w:szCs w:val="22"/>
        </w:rPr>
        <w:t xml:space="preserve">Document the explicit research gap: absence of empirical organizational studies on risk recognition (not just mitigation) — how organizations know they have a problem before something goes wrong. Connect to Sabatier’s policy process theory and Poppendieck’s lean framing.</w:t>
      </w:r>
    </w:p>
    <w:p>
      <w:pPr>
        <w:pStyle w:val="ListParagraph"/>
        <w:numPr>
          <w:ilvl w:val="1"/>
          <w:numId w:val="2"/>
        </w:numPr>
        <w:spacing w:after="120"/>
      </w:pPr>
      <w:r>
        <w:rPr>
          <w:rFonts w:ascii="Arial" w:cs="Arial" w:eastAsia="Arial" w:hAnsi="Arial"/>
          <w:i/>
          <w:iCs/>
          <w:color w:val="666666"/>
          <w:sz w:val="20"/>
          <w:szCs w:val="20"/>
        </w:rPr>
        <w:t xml:space="preserve">Source: “Systematic literature review on AI-generated code risk management” — Mid-chat</w:t>
      </w:r>
    </w:p>
    <w:p>
      <w:r>
        <w:t xml:space="preserve"/>
      </w:r>
    </w:p>
    <w:p>
      <w:pPr>
        <w:pStyle w:val="Heading1"/>
      </w:pPr>
      <w:r>
        <w:rPr>
          <w:rFonts w:ascii="Arial" w:cs="Arial" w:eastAsia="Arial" w:hAnsi="Arial"/>
        </w:rPr>
        <w:t xml:space="preserve">7. Ethics, AI-Use Disclosure, and Citation</w:t>
      </w:r>
    </w:p>
    <w:p>
      <w:pPr>
        <w:pStyle w:val="ListParagraph"/>
        <w:numPr>
          <w:ilvl w:val="0"/>
          <w:numId w:val="2"/>
        </w:numPr>
        <w:spacing w:after="80"/>
      </w:pPr>
      <w:r>
        <w:rPr>
          <w:rFonts w:ascii="Arial" w:cs="Arial" w:eastAsia="Arial" w:hAnsi="Arial"/>
          <w:sz w:val="22"/>
          <w:szCs w:val="22"/>
        </w:rPr>
        <w:t xml:space="preserve">Include explicit AI-use statement disclosing: (1) Claude as query-refinement and consistency-checking tool; (2) Gemini for AI-assisted candidate-source identification with verification protocol; (3) Claude is not citeable as a source for literature claims.</w:t>
      </w:r>
    </w:p>
    <w:p>
      <w:pPr>
        <w:pStyle w:val="ListParagraph"/>
        <w:numPr>
          <w:ilvl w:val="1"/>
          <w:numId w:val="2"/>
        </w:numPr>
        <w:spacing w:after="120"/>
      </w:pPr>
      <w:r>
        <w:rPr>
          <w:rFonts w:ascii="Arial" w:cs="Arial" w:eastAsia="Arial" w:hAnsi="Arial"/>
          <w:i/>
          <w:iCs/>
          <w:color w:val="666666"/>
          <w:sz w:val="20"/>
          <w:szCs w:val="20"/>
        </w:rPr>
        <w:t xml:space="preserve">Source: “Citing AI assistance in academic work” — Mid-chat</w:t>
      </w:r>
    </w:p>
    <w:p>
      <w:pPr>
        <w:pStyle w:val="ListParagraph"/>
        <w:numPr>
          <w:ilvl w:val="0"/>
          <w:numId w:val="2"/>
        </w:numPr>
        <w:spacing w:after="80"/>
      </w:pPr>
      <w:r>
        <w:rPr>
          <w:rFonts w:ascii="Arial" w:cs="Arial" w:eastAsia="Arial" w:hAnsi="Arial"/>
          <w:sz w:val="22"/>
          <w:szCs w:val="22"/>
        </w:rPr>
        <w:t xml:space="preserve">Positionality disclosure: Pre-existing relationship with Aravind Bala (CTO, SeekOut) — anonymized in Zotero as “senior practitioner / CTO at different org in HR-tech sector” pending permission. Relevant for IRB protocol when interview phase begins.</w:t>
      </w:r>
    </w:p>
    <w:p>
      <w:pPr>
        <w:pStyle w:val="ListParagraph"/>
        <w:numPr>
          <w:ilvl w:val="1"/>
          <w:numId w:val="2"/>
        </w:numPr>
        <w:spacing w:after="120"/>
      </w:pPr>
      <w:r>
        <w:rPr>
          <w:rFonts w:ascii="Arial" w:cs="Arial" w:eastAsia="Arial" w:hAnsi="Arial"/>
          <w:i/>
          <w:iCs/>
          <w:color w:val="666666"/>
          <w:sz w:val="20"/>
          <w:szCs w:val="20"/>
        </w:rPr>
        <w:t xml:space="preserve">Source: Established during corpus assembly</w:t>
      </w:r>
    </w:p>
    <w:p>
      <w:r>
        <w:t xml:space="preserve"/>
      </w:r>
    </w:p>
    <w:p>
      <w:pPr>
        <w:pStyle w:val="Heading1"/>
      </w:pPr>
      <w:r>
        <w:rPr>
          <w:rFonts w:ascii="Arial" w:cs="Arial" w:eastAsia="Arial" w:hAnsi="Arial"/>
        </w:rPr>
        <w:t xml:space="preserve">8. Empirical Phase (Post-SLR)</w:t>
      </w:r>
    </w:p>
    <w:p>
      <w:pPr>
        <w:pStyle w:val="Heading2"/>
      </w:pPr>
      <w:r>
        <w:rPr>
          <w:rFonts w:ascii="Arial" w:cs="Arial" w:eastAsia="Arial" w:hAnsi="Arial"/>
        </w:rPr>
        <w:t xml:space="preserve">8.1 Mixed-methods design</w:t>
      </w:r>
    </w:p>
    <w:p>
      <w:pPr>
        <w:pStyle w:val="ListParagraph"/>
        <w:numPr>
          <w:ilvl w:val="0"/>
          <w:numId w:val="2"/>
        </w:numPr>
        <w:spacing w:after="80"/>
      </w:pPr>
      <w:r>
        <w:rPr>
          <w:rFonts w:ascii="Arial" w:cs="Arial" w:eastAsia="Arial" w:hAnsi="Arial"/>
          <w:sz w:val="22"/>
          <w:szCs w:val="22"/>
        </w:rPr>
        <w:t xml:space="preserve">Structured practitioner survey (target: 50–100+ responses) for demographic and high-level category claims. Distribution via LinkedIn, direct professional email, committee networks, and David Pistrui’s consulting network.</w:t>
      </w:r>
    </w:p>
    <w:p>
      <w:pPr>
        <w:pStyle w:val="ListParagraph"/>
        <w:numPr>
          <w:ilvl w:val="0"/>
          <w:numId w:val="2"/>
        </w:numPr>
        <w:spacing w:after="80"/>
      </w:pPr>
      <w:r>
        <w:rPr>
          <w:rFonts w:ascii="Arial" w:cs="Arial" w:eastAsia="Arial" w:hAnsi="Arial"/>
          <w:sz w:val="22"/>
          <w:szCs w:val="22"/>
        </w:rPr>
        <w:t xml:space="preserve">Semi-structured interviews (target: 5–6 practitioners for rich qualitative data). Guiding questions with emergent thread follow-up. Three segments: (1) Big tech; (2) Software startups (Seattle AI startup community, via Leo); (3) Regulated/safety-critical enterprises (Boeing, financial services — aspirational; access may be limited).</w:t>
      </w:r>
    </w:p>
    <w:p>
      <w:pPr>
        <w:pStyle w:val="ListParagraph"/>
        <w:numPr>
          <w:ilvl w:val="0"/>
          <w:numId w:val="2"/>
        </w:numPr>
        <w:spacing w:after="80"/>
      </w:pPr>
      <w:r>
        <w:rPr>
          <w:rFonts w:ascii="Arial" w:cs="Arial" w:eastAsia="Arial" w:hAnsi="Arial"/>
          <w:sz w:val="22"/>
          <w:szCs w:val="22"/>
        </w:rPr>
        <w:t xml:space="preserve">IRB protocol required before data collection begins. Follow-on to preliminary exam (target: oral defense Feb 2027). Two-semester gap required between prelim and dissertation defense — targeting final defense late spring 2028.</w:t>
      </w:r>
    </w:p>
    <w:p>
      <w:pPr>
        <w:pStyle w:val="ListParagraph"/>
        <w:numPr>
          <w:ilvl w:val="1"/>
          <w:numId w:val="2"/>
        </w:numPr>
        <w:spacing w:after="120"/>
      </w:pPr>
      <w:r>
        <w:rPr>
          <w:rFonts w:ascii="Arial" w:cs="Arial" w:eastAsia="Arial" w:hAnsi="Arial"/>
          <w:i/>
          <w:iCs/>
          <w:color w:val="666666"/>
          <w:sz w:val="20"/>
          <w:szCs w:val="20"/>
        </w:rPr>
        <w:t xml:space="preserve">Source: Thomas meeting 2026-05-01</w:t>
      </w:r>
    </w:p>
    <w:p>
      <w:pPr>
        <w:pStyle w:val="ListParagraph"/>
        <w:numPr>
          <w:ilvl w:val="0"/>
          <w:numId w:val="2"/>
        </w:numPr>
        <w:spacing w:after="80"/>
      </w:pPr>
      <w:r>
        <w:rPr>
          <w:rFonts w:ascii="Arial" w:cs="Arial" w:eastAsia="Arial" w:hAnsi="Arial"/>
          <w:sz w:val="22"/>
          <w:szCs w:val="22"/>
        </w:rPr>
        <w:t xml:space="preserve">Incentive strategy for survey respondents (working professionals): swag, gift cards. Prolific as fallback if organic recruitment is insufficient.</w:t>
      </w:r>
    </w:p>
    <w:p>
      <w:pPr>
        <w:pStyle w:val="ListParagraph"/>
        <w:numPr>
          <w:ilvl w:val="1"/>
          <w:numId w:val="2"/>
        </w:numPr>
        <w:spacing w:after="120"/>
      </w:pPr>
      <w:r>
        <w:rPr>
          <w:rFonts w:ascii="Arial" w:cs="Arial" w:eastAsia="Arial" w:hAnsi="Arial"/>
          <w:i/>
          <w:iCs/>
          <w:color w:val="666666"/>
          <w:sz w:val="20"/>
          <w:szCs w:val="20"/>
        </w:rPr>
        <w:t xml:space="preserve">Source: Thomas meeting 2026-05-01</w:t>
      </w:r>
    </w:p>
    <w:p>
      <w:pPr>
        <w:pStyle w:val="Heading2"/>
      </w:pPr>
      <w:r>
        <w:rPr>
          <w:rFonts w:ascii="Arial" w:cs="Arial" w:eastAsia="Arial" w:hAnsi="Arial"/>
        </w:rPr>
        <w:t xml:space="preserve">8.2 Positionality and access</w:t>
      </w:r>
    </w:p>
    <w:p>
      <w:pPr>
        <w:pStyle w:val="ListParagraph"/>
        <w:numPr>
          <w:ilvl w:val="0"/>
          <w:numId w:val="2"/>
        </w:numPr>
        <w:spacing w:after="80"/>
      </w:pPr>
      <w:r>
        <w:rPr>
          <w:rFonts w:ascii="Arial" w:cs="Arial" w:eastAsia="Arial" w:hAnsi="Arial"/>
          <w:sz w:val="22"/>
          <w:szCs w:val="22"/>
        </w:rPr>
        <w:t xml:space="preserve">Scott’s position as a Microsoft practitioner is an asset for access and insight, but creates potential conflicts of interest that should be disclosed in the positionality statement. IRB will require anonymization of company-identifying information for interviews.</w:t>
      </w:r>
    </w:p>
    <w:p>
      <w:pPr>
        <w:pStyle w:val="ListParagraph"/>
        <w:numPr>
          <w:ilvl w:val="1"/>
          <w:numId w:val="2"/>
        </w:numPr>
        <w:spacing w:after="120"/>
      </w:pPr>
      <w:r>
        <w:rPr>
          <w:rFonts w:ascii="Arial" w:cs="Arial" w:eastAsia="Arial" w:hAnsi="Arial"/>
          <w:i/>
          <w:iCs/>
          <w:color w:val="666666"/>
          <w:sz w:val="20"/>
          <w:szCs w:val="20"/>
        </w:rPr>
        <w:t xml:space="preserve">Source: Thomas meeting 2026-05-01</w:t>
      </w:r>
    </w:p>
    <w:p>
      <w:r>
        <w:t xml:space="preserve"/>
      </w:r>
    </w:p>
    <w:p>
      <w:pPr>
        <w:pStyle w:val="Heading1"/>
      </w:pPr>
      <w:r>
        <w:rPr>
          <w:rFonts w:ascii="Arial" w:cs="Arial" w:eastAsia="Arial" w:hAnsi="Arial"/>
        </w:rPr>
        <w:t xml:space="preserve">9. Items to Revisit Before Drafting</w:t>
      </w:r>
    </w:p>
    <w:p>
      <w:pPr>
        <w:pStyle w:val="ListParagraph"/>
        <w:numPr>
          <w:ilvl w:val="0"/>
          <w:numId w:val="2"/>
        </w:numPr>
        <w:spacing w:after="80"/>
      </w:pPr>
      <w:r>
        <w:rPr>
          <w:rFonts w:ascii="Arial" w:cs="Arial" w:eastAsia="Arial" w:hAnsi="Arial"/>
          <w:sz w:val="22"/>
          <w:szCs w:val="22"/>
        </w:rPr>
        <w:t xml:space="preserve">Confirm with Thomas: solo-coder screening vs second-screener requirement; whether spot-check sample agreement reporting is sufficient.</w:t>
      </w:r>
    </w:p>
    <w:p>
      <w:pPr>
        <w:pStyle w:val="ListParagraph"/>
        <w:numPr>
          <w:ilvl w:val="0"/>
          <w:numId w:val="2"/>
        </w:numPr>
        <w:spacing w:after="80"/>
      </w:pPr>
      <w:r>
        <w:rPr>
          <w:rFonts w:ascii="Arial" w:cs="Arial" w:eastAsia="Arial" w:hAnsi="Arial"/>
          <w:sz w:val="22"/>
          <w:szCs w:val="22"/>
        </w:rPr>
        <w:t xml:space="preserve">Confirm “accepted for publication” definition for program requirement.</w:t>
      </w:r>
    </w:p>
    <w:p>
      <w:pPr>
        <w:pStyle w:val="ListParagraph"/>
        <w:numPr>
          <w:ilvl w:val="0"/>
          <w:numId w:val="2"/>
        </w:numPr>
        <w:spacing w:after="80"/>
      </w:pPr>
      <w:r>
        <w:rPr>
          <w:rFonts w:ascii="Arial" w:cs="Arial" w:eastAsia="Arial" w:hAnsi="Arial"/>
          <w:sz w:val="22"/>
          <w:szCs w:val="22"/>
        </w:rPr>
        <w:t xml:space="preserve">Draft Practitioner Network protocol (one-page: monitored sources list, expert informants, structural search queries, cadence, tighter grey-lit criteria) BEFORE collecting more items.</w:t>
      </w:r>
    </w:p>
    <w:p>
      <w:pPr>
        <w:pStyle w:val="ListParagraph"/>
        <w:numPr>
          <w:ilvl w:val="0"/>
          <w:numId w:val="2"/>
        </w:numPr>
        <w:spacing w:after="80"/>
      </w:pPr>
      <w:r>
        <w:rPr>
          <w:rFonts w:ascii="Arial" w:cs="Arial" w:eastAsia="Arial" w:hAnsi="Arial"/>
          <w:sz w:val="22"/>
          <w:szCs w:val="22"/>
        </w:rPr>
        <w:t xml:space="preserve">Address remaining coverage gaps: regulatory/compliance frameworks (EU AI Act, NIST, CISA), prompt injection and supply chain attack terminology, agentic coding vocabulary, developer overtrust/over-reliance constructs.</w:t>
      </w:r>
    </w:p>
    <w:p>
      <w:pPr>
        <w:pStyle w:val="ListParagraph"/>
        <w:numPr>
          <w:ilvl w:val="0"/>
          <w:numId w:val="2"/>
        </w:numPr>
        <w:spacing w:after="80"/>
      </w:pPr>
      <w:r>
        <w:rPr>
          <w:rFonts w:ascii="Arial" w:cs="Arial" w:eastAsia="Arial" w:hAnsi="Arial"/>
          <w:sz w:val="22"/>
          <w:szCs w:val="22"/>
        </w:rPr>
        <w:t xml:space="preserve">Methods chapter must document 2026-05-21 decision: screening criteria unchanged for AI House queries; rationale = recall-risk mitigation via spot-check. Document Pass 2 trust check results (κ=0.79) and human escalation review.</w:t>
      </w:r>
    </w:p>
    <w:p>
      <w:r>
        <w:t xml:space="preserve"/>
      </w:r>
    </w:p>
    <w:p>
      <w:pPr>
        <w:spacing w:after="120"/>
      </w:pPr>
      <w:r>
        <w:rPr>
          <w:rFonts w:ascii="Arial" w:cs="Arial" w:eastAsia="Arial" w:hAnsi="Arial"/>
          <w:sz w:val="22"/>
          <w:szCs w:val="22"/>
        </w:rPr>
        <w:t xml:space="preserve">Note: All bullets above were derived from prior chats in this project and the 2026-05-01 meeting transcript. Review the cited chat for the original framing, examples, and any qualifications before lifting language directly into the methods chapter.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200"/>
      <w:outlineLvl w:val="1"/>
    </w:pPr>
    <w:rPr>
      <w:rFonts w:ascii="Arial" w:cs="Arial" w:eastAsia="Arial" w:hAnsi="Arial"/>
      <w:b/>
      <w:bCs/>
      <w:color w:val="2E74B5"/>
      <w:sz w:val="24"/>
      <w:szCs w:val="24"/>
    </w:rPr>
  </w:style>
  <w:style w:type="paragraph" w:styleId="Heading3">
    <w:name w:val="Heading 3"/>
    <w:basedOn w:val="Normal"/>
    <w:next w:val="Normal"/>
    <w:qFormat/>
    <w:pPr>
      <w:spacing w:after="6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2026-06-08T02:08:38.991Z</dcterms:created>
  <dcterms:modified xsi:type="dcterms:W3CDTF">2026-06-08T02:08:38.992Z</dcterms:modified>
</cp:coreProperties>
</file>

<file path=docProps/custom.xml><?xml version="1.0" encoding="utf-8"?>
<Properties xmlns="http://schemas.openxmlformats.org/officeDocument/2006/custom-properties" xmlns:vt="http://schemas.openxmlformats.org/officeDocument/2006/docPropsVTypes"/>
</file>