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SLR Methodology Section — Suggestions Compiled from Project Chats</w:t>
      </w:r>
    </w:p>
    <w:p>
      <w:pPr>
        <w:spacing w:after="80"/>
        <w:jc w:val="center"/>
      </w:pPr>
      <w:r>
        <w:rPr>
          <w:i/>
          <w:iCs/>
          <w:sz w:val="24"/>
          <w:szCs w:val="24"/>
        </w:rPr>
        <w:t xml:space="preserve">Vibe Coding Governance Systematic Literature Review</w:t>
      </w:r>
    </w:p>
    <w:p>
      <w:pPr>
        <w:spacing w:after="360"/>
        <w:jc w:val="center"/>
      </w:pPr>
      <w:r>
        <w:rPr>
          <w:i/>
          <w:iCs/>
          <w:color w:val="666666"/>
          <w:sz w:val="20"/>
          <w:szCs w:val="20"/>
        </w:rPr>
        <w:t xml:space="preserve">Compiled April 24, 2026</w:t>
      </w:r>
    </w:p>
    <w:p>
      <w:pPr>
        <w:spacing w:after="120"/>
      </w:pPr>
      <w:r>
        <w:rPr>
          <w:sz w:val="22"/>
          <w:szCs w:val="22"/>
        </w:rPr>
        <w:t xml:space="preserve">This document enumerates suggestions for the SLR methodology section that surfaced across the project’s chats. Each item points back to the chat where the discussion happened so the original context can be reviewed before drafting. Items are grouped by methodology topic, not by chat order.</w:t>
      </w:r>
    </w:p>
    <w:p>
      <w:pPr>
        <w:spacing w:after="120"/>
      </w:pPr>
      <w:r>
        <w:rPr>
          <w:i/>
          <w:iCs/>
          <w:sz w:val="22"/>
          <w:szCs w:val="22"/>
        </w:rPr>
        <w:t xml:space="preserve">Chat title abbreviations used as source citations below correspond to the chat titles visible in the project sidebar.</w:t>
      </w:r>
    </w:p>
    <w:p>
      <w:pPr>
        <w:pStyle w:val="Heading1"/>
      </w:pPr>
      <w:r>
        <w:t xml:space="preserve">1. Protocol, Research Questions, and Framing</w:t>
      </w:r>
    </w:p>
    <w:p>
      <w:pPr>
        <w:pStyle w:val="Heading2"/>
      </w:pPr>
      <w:r>
        <w:t xml:space="preserve">1.1 Research-question framing and scoping</w:t>
      </w:r>
    </w:p>
    <w:p>
      <w:pPr>
        <w:pStyle w:val="ListParagraph"/>
        <w:numPr>
          <w:ilvl w:val="0"/>
          <w:numId w:val="2"/>
        </w:numPr>
        <w:spacing w:after="60"/>
      </w:pPr>
      <w:r>
        <w:t xml:space="preserve">Use a PICO/PICOC- or SPIDER-style framing as the front matter of the methods section: inclusion criteria require a paper to address at least one of (a) a risk introduced by AI-generated code, (b) a governance or oversight mechanism applied to that code, or (c) scalability of review/quality control. Papers studying LLM capability benchmarks without an organizational governance link are excluded.</w:t>
      </w:r>
    </w:p>
    <w:p>
      <w:pPr>
        <w:pStyle w:val="ListParagraph"/>
        <w:numPr>
          <w:ilvl w:val="1"/>
          <w:numId w:val="2"/>
        </w:numPr>
        <w:spacing w:after="140"/>
      </w:pPr>
      <w:r>
        <w:rPr>
          <w:i/>
          <w:iCs/>
          <w:sz w:val="20"/>
          <w:szCs w:val="20"/>
        </w:rPr>
        <w:t xml:space="preserve">Source: </w:t>
      </w:r>
      <w:r>
        <w:rPr>
          <w:i/>
          <w:iCs/>
          <w:sz w:val="20"/>
          <w:szCs w:val="20"/>
        </w:rPr>
        <w:t xml:space="preserve">"Literature review selection and tagging principles" — Mid-chat — PICO/SPIDER framing for inclusion criteria</w:t>
      </w:r>
    </w:p>
    <w:p>
      <w:pPr>
        <w:pStyle w:val="ListParagraph"/>
        <w:numPr>
          <w:ilvl w:val="0"/>
          <w:numId w:val="2"/>
        </w:numPr>
        <w:spacing w:after="60"/>
      </w:pPr>
      <w:r>
        <w:t xml:space="preserve">Frame the dissertation’s contribution gap explicitly in the methods rationale: the underserved angle is scalability of oversight without sacrificing quality. Tier 1 “Core” papers address that angle directly; Tier 2 “Context” papers address the volume/risk problem only.</w:t>
      </w:r>
    </w:p>
    <w:p>
      <w:pPr>
        <w:pStyle w:val="ListParagraph"/>
        <w:numPr>
          <w:ilvl w:val="1"/>
          <w:numId w:val="2"/>
        </w:numPr>
        <w:spacing w:after="140"/>
      </w:pPr>
      <w:r>
        <w:rPr>
          <w:i/>
          <w:iCs/>
          <w:sz w:val="20"/>
          <w:szCs w:val="20"/>
        </w:rPr>
        <w:t xml:space="preserve">Source: </w:t>
      </w:r>
      <w:r>
        <w:rPr>
          <w:i/>
          <w:iCs/>
          <w:sz w:val="20"/>
          <w:szCs w:val="20"/>
        </w:rPr>
        <w:t xml:space="preserve">"Literature review selection and tagging principles" — Mid-chat — priority signal for your research gap</w:t>
      </w:r>
    </w:p>
    <w:p>
      <w:pPr>
        <w:pStyle w:val="ListParagraph"/>
        <w:numPr>
          <w:ilvl w:val="0"/>
          <w:numId w:val="2"/>
        </w:numPr>
        <w:spacing w:after="60"/>
      </w:pPr>
      <w:r>
        <w:t xml:space="preserve">Anchor the synthesis in an explicit theoretical lens at the intersection of human factors (automation bias, signal detection theory, Parasuraman levels of automation) and organizational risk management (ISO 31000 logic, NIST AI RMF). State this in the methods chapter so the coding scheme has a stated theoretical home.</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“Analytical Approach”</w:t>
      </w:r>
    </w:p>
    <w:p>
      <w:pPr>
        <w:pStyle w:val="Heading2"/>
      </w:pPr>
      <w:r>
        <w:t xml:space="preserve">1.2 Relation between SLR paper and dissertation literature review</w:t>
      </w:r>
    </w:p>
    <w:p>
      <w:pPr>
        <w:pStyle w:val="ListParagraph"/>
        <w:numPr>
          <w:ilvl w:val="0"/>
          <w:numId w:val="2"/>
        </w:numPr>
        <w:spacing w:after="60"/>
      </w:pPr>
      <w:r>
        <w:t xml:space="preserve">Document explicitly that the SLR is a standalone methodological contribution (“what does the literature say about X?”) while the dissertation LR is a selective interpretive argument (“given what the literature says, here is why my RQ matters”). The methods chapter should cite the published SLR rather than reproduce its content, to avoid self-plagiarism / text recycling concerns.</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“Why the logic is correct” / “The practical path”</w:t>
      </w:r>
    </w:p>
    <w:p>
      <w:pPr>
        <w:pStyle w:val="ListParagraph"/>
        <w:numPr>
          <w:ilvl w:val="0"/>
          <w:numId w:val="2"/>
        </w:numPr>
        <w:spacing w:after="60"/>
      </w:pPr>
      <w:r>
        <w:t xml:space="preserve">Check copyright transfer terms before submitting the SLR; Purdue’s manuscript-format dissertation policies and the target venue’s author-rights policy both need to be reviewed and a publisher statement obtained if the SLR will appear as a chapter.</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“The real risks to manage” → copyright transfer paragraph</w:t>
      </w:r>
    </w:p>
    <w:p>
      <w:pPr>
        <w:pStyle w:val="ListParagraph"/>
        <w:numPr>
          <w:ilvl w:val="0"/>
          <w:numId w:val="2"/>
        </w:numPr>
        <w:spacing w:after="60"/>
      </w:pPr>
      <w:r>
        <w:t xml:space="preserve">Confirm with the program director that a peer-reviewed conference paper satisfies the publication requirement before locking in the venue; current candidate venues are ICSE SEIP, EASE, and HICSS, with the conference path also providing reviewer feedback that can sharpen the dissertation proposal.</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“Why a conference paper is actually the better first move”</w:t>
      </w:r>
    </w:p>
    <w:p>
      <w:pPr>
        <w:pStyle w:val="Heading1"/>
      </w:pPr>
      <w:r>
        <w:t xml:space="preserve">2. Search Strategy</w:t>
      </w:r>
    </w:p>
    <w:p>
      <w:pPr>
        <w:pStyle w:val="Heading2"/>
      </w:pPr>
      <w:r>
        <w:t xml:space="preserve">2.1 Multi-stream identification architecture (PRISMA 2020)</w:t>
      </w:r>
    </w:p>
    <w:p>
      <w:pPr>
        <w:pStyle w:val="ListParagraph"/>
        <w:numPr>
          <w:ilvl w:val="0"/>
          <w:numId w:val="2"/>
        </w:numPr>
        <w:spacing w:after="60"/>
      </w:pPr>
      <w:r>
        <w:t xml:space="preserve">Document identification as multiple parallel streams — Database Searching (IEEE, ACM, Scopus, WoS, ABI/Inform-as-attempted), Preprint search (arXiv), and Other Methods (Coursework, Practitioner Network) — with each stream’s search method, date, and yield reported separately. PRISMA 2020 explicitly distinguishes database searching from “other methods” and recommends documenting each “other method” separately for reproducibility.</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“Why the separation matters” table</w:t>
      </w:r>
    </w:p>
    <w:p>
      <w:pPr>
        <w:pStyle w:val="ListParagraph"/>
        <w:numPr>
          <w:ilvl w:val="0"/>
          <w:numId w:val="2"/>
        </w:numPr>
        <w:spacing w:after="60"/>
      </w:pPr>
      <w:r>
        <w:t xml:space="preserve">Resolve to a three-way taxonomy in the methods chapter: (1) peer-reviewed scholarly literature (IEEE, ACM, Scopus); (2) preprint literature (arXiv) screened with an additional methodological-transparency check at Pass 1; (3) curated grey literature streams (Coursework, Practitioner Network) screened against tighter grey-literature criteria.</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“The resulting stream architecture” / three-paragraph methods version</w:t>
      </w:r>
    </w:p>
    <w:p>
      <w:pPr>
        <w:pStyle w:val="ListParagraph"/>
        <w:numPr>
          <w:ilvl w:val="0"/>
          <w:numId w:val="2"/>
        </w:numPr>
        <w:spacing w:after="60"/>
      </w:pPr>
      <w:r>
        <w:t xml:space="preserve">Include a draft three-paragraph methods passage covering scholarly databases, preprint stream with the methodological-transparency criterion, and curated grey-literature streams with their tighter inclusion rules. The draft is already written and can be lifted nearly verbatim into the methods chapter.</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indented block quote labeled “4.2.2 Preprint literature” / “4.2.3 Curated grey literature”</w:t>
      </w:r>
    </w:p>
    <w:p>
      <w:pPr>
        <w:pStyle w:val="Heading2"/>
      </w:pPr>
      <w:r>
        <w:t xml:space="preserve">2.2 Database queries and query design</w:t>
      </w:r>
    </w:p>
    <w:p>
      <w:pPr>
        <w:pStyle w:val="ListParagraph"/>
        <w:numPr>
          <w:ilvl w:val="0"/>
          <w:numId w:val="2"/>
        </w:numPr>
        <w:spacing w:after="60"/>
      </w:pPr>
      <w:r>
        <w:t xml:space="preserve">In SLR query design, recall takes priority over precision at the search stage; loosening exact-phrase matching in favour of Boolean cluster combinations using wildcards and OR-grouped synonyms is appropriate, and precision is addressed downstream in screening.</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Early chat — advice on shifting from rigid exact-phrase to Boolean clusters</w:t>
      </w:r>
    </w:p>
    <w:p>
      <w:pPr>
        <w:pStyle w:val="ListParagraph"/>
        <w:numPr>
          <w:ilvl w:val="0"/>
          <w:numId w:val="2"/>
        </w:numPr>
        <w:spacing w:after="60"/>
      </w:pPr>
      <w:r>
        <w:t xml:space="preserve">“Vibe coding” should be treated as a phrase (coined term, Karpathy Feb 2025); broader concepts like “AI code generation” should not be phrase-locked.</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Early chat — phrase-treatment guidance</w:t>
      </w:r>
    </w:p>
    <w:p>
      <w:pPr>
        <w:pStyle w:val="ListParagraph"/>
        <w:numPr>
          <w:ilvl w:val="0"/>
          <w:numId w:val="2"/>
        </w:numPr>
        <w:spacing w:after="60"/>
      </w:pPr>
      <w:r>
        <w:t xml:space="preserve">Document the 22 numbered queries already executed against IEEE Xplore, organized into six thematic categories: AI Code Risk &amp; Security (Q1–5), AI Code Quality &amp; Debt (Q6–7), Human Oversight &amp; Capacity (Q8–11), Org Governance &amp; Policy (Q12–15), Org Risk Recognition (Q16), and Tool-Specific (Q17–22). Methods chapter should include the full query block (Appendix A is the natural home).</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Mid-chat — 22 numbered queries by thematic category</w:t>
      </w:r>
    </w:p>
    <w:p>
      <w:pPr>
        <w:pStyle w:val="ListParagraph"/>
        <w:numPr>
          <w:ilvl w:val="0"/>
          <w:numId w:val="2"/>
        </w:numPr>
        <w:spacing w:after="60"/>
      </w:pPr>
      <w:r>
        <w:t xml:space="preserve">Note known coverage gaps in the original query set and document what was added: regulatory and compliance frameworks (EU AI Act, NIST, CISA), prompt injection and supply chain attack terminology, agentic coding vocabulary, and developer overtrust/over-reliance constructs.</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Late chat — thematic gaps and recommended Q23 (regulatory compliance)</w:t>
      </w:r>
    </w:p>
    <w:p>
      <w:pPr>
        <w:pStyle w:val="ListParagraph"/>
        <w:numPr>
          <w:ilvl w:val="0"/>
          <w:numId w:val="2"/>
        </w:numPr>
        <w:spacing w:after="60"/>
      </w:pPr>
      <w:r>
        <w:t xml:space="preserve">Document the ABI/Inform-to-Scopus pivot with the 37× calibration differential as the justification: a diagnostic calibration query returned 3 hits in ABI versus 110 in the equivalent Scopus query, validating that the pivot was a coverage decision, not an arbitrary one. A drafted methods-chapter paragraph for this pivot already exists.</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Mid-late chat — “For the methods chapter” block quote about the ABI-to-Scopus pivot</w:t>
      </w:r>
    </w:p>
    <w:p>
      <w:pPr>
        <w:pStyle w:val="ListParagraph"/>
        <w:numPr>
          <w:ilvl w:val="0"/>
          <w:numId w:val="2"/>
        </w:numPr>
        <w:spacing w:after="60"/>
      </w:pPr>
      <w:r>
        <w:t xml:space="preserve">Note Scopus 2,000-record export cap per operation and document any subject-area filters applied on export so the methods chapter can specify them.</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“One note on export”</w:t>
      </w:r>
    </w:p>
    <w:p>
      <w:pPr>
        <w:pStyle w:val="ListParagraph"/>
        <w:numPr>
          <w:ilvl w:val="0"/>
          <w:numId w:val="2"/>
        </w:numPr>
        <w:spacing w:after="60"/>
      </w:pPr>
      <w:r>
        <w:t xml:space="preserve">Do NOT apply full-text-availability filters at the search stage; that is a retrieval-convenience filter, not a relevance filter, and it makes the corpus partly a function of Purdue’s license portfolio. Records that turn out to be unretrievable after reasonable effort are excluded later at full-text screening with the documented reason “not-retrievable.” Acceptable filters are: peer-reviewed (yes), date range (2020–2026).</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“The correct PRISMA pattern” / “What to actually check”</w:t>
      </w:r>
    </w:p>
    <w:p>
      <w:pPr>
        <w:pStyle w:val="ListParagraph"/>
        <w:numPr>
          <w:ilvl w:val="0"/>
          <w:numId w:val="2"/>
        </w:numPr>
        <w:spacing w:after="60"/>
      </w:pPr>
      <w:r>
        <w:t xml:space="preserve">Set date range 2020–present, with a secondary pass at 2018–2019 for foundational automation-bias and human-oversight literature; most vibe-coding-specific work is 2024–2026 so do not truncate early.</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“Databases and sources”</w:t>
      </w:r>
    </w:p>
    <w:p>
      <w:pPr>
        <w:pStyle w:val="Heading2"/>
      </w:pPr>
      <w:r>
        <w:t xml:space="preserve">2.3 Google Scholar and AI-assisted search</w:t>
      </w:r>
    </w:p>
    <w:p>
      <w:pPr>
        <w:pStyle w:val="ListParagraph"/>
        <w:numPr>
          <w:ilvl w:val="0"/>
          <w:numId w:val="2"/>
        </w:numPr>
        <w:spacing w:after="60"/>
      </w:pPr>
      <w:r>
        <w:t xml:space="preserve">Treat Google Scholar as a separate identification stream specifically for grey literature, preprints, practitioner reports, and conference proceedings missed by structured databases. Document query strings (kept short and natural-language because GS has weak Boolean support), date run, total results, and number of pages reviewed (typically first 3–5 pages, since GS results degrade after page 3). Screenshot the hit count.</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“Google Scholar search queries”</w:t>
      </w:r>
    </w:p>
    <w:p>
      <w:pPr>
        <w:pStyle w:val="ListParagraph"/>
        <w:numPr>
          <w:ilvl w:val="0"/>
          <w:numId w:val="2"/>
        </w:numPr>
        <w:spacing w:after="60"/>
      </w:pPr>
      <w:r>
        <w:t xml:space="preserve">For AI-assisted search (Gemini), save full prompt and full response for each session, record the date and the visible model version, and treat every named source as a lead requiring independent verification before it enters the corpus. Methods chapter should state this explicitly with language like: “AI-assisted search (Gemini, version X, accessed [dates]) was used to identify candidate sources and conceptual frameworks; all suggested sources were independently verified and subjected to the same inclusion/exclusion criteria as database-identified records.”</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“For your methodology write-up” (after the Gemini-search guidance)</w:t>
      </w:r>
    </w:p>
    <w:p>
      <w:pPr>
        <w:pStyle w:val="ListParagraph"/>
        <w:numPr>
          <w:ilvl w:val="0"/>
          <w:numId w:val="2"/>
        </w:numPr>
        <w:spacing w:after="60"/>
      </w:pPr>
      <w:r>
        <w:t xml:space="preserve">Note Claude-assisted query refinement and consistency-checking in the methods section as part of the search strategy and disclosure statement; Claude is not a citeable source for literature claims and any citation it generates must be verified against the original.</w:t>
      </w:r>
    </w:p>
    <w:p>
      <w:pPr>
        <w:pStyle w:val="ListParagraph"/>
        <w:numPr>
          <w:ilvl w:val="1"/>
          <w:numId w:val="2"/>
        </w:numPr>
        <w:spacing w:after="140"/>
      </w:pPr>
      <w:r>
        <w:rPr>
          <w:i/>
          <w:iCs/>
          <w:sz w:val="20"/>
          <w:szCs w:val="20"/>
        </w:rPr>
        <w:t xml:space="preserve">Source: </w:t>
      </w:r>
      <w:r>
        <w:rPr>
          <w:i/>
          <w:iCs/>
          <w:sz w:val="20"/>
          <w:szCs w:val="20"/>
        </w:rPr>
        <w:t xml:space="preserve">"Citing AI assistance in academic work" — Mid-chat — citation rules / practical suggestion</w:t>
      </w:r>
    </w:p>
    <w:p>
      <w:pPr>
        <w:pStyle w:val="ListParagraph"/>
        <w:numPr>
          <w:ilvl w:val="0"/>
          <w:numId w:val="2"/>
        </w:numPr>
        <w:spacing w:after="60"/>
      </w:pPr>
      <w:r>
        <w:t xml:space="preserve">Disclose AI assistance per institutional and target-venue policies; APA 7th edition has guidance for citing AI-generated content, and most journals now require an explicit AI-use statement.</w:t>
      </w:r>
    </w:p>
    <w:p>
      <w:pPr>
        <w:pStyle w:val="ListParagraph"/>
        <w:numPr>
          <w:ilvl w:val="1"/>
          <w:numId w:val="2"/>
        </w:numPr>
        <w:spacing w:after="140"/>
      </w:pPr>
      <w:r>
        <w:rPr>
          <w:i/>
          <w:iCs/>
          <w:sz w:val="20"/>
          <w:szCs w:val="20"/>
        </w:rPr>
        <w:t xml:space="preserve">Source: </w:t>
      </w:r>
      <w:r>
        <w:rPr>
          <w:i/>
          <w:iCs/>
          <w:sz w:val="20"/>
          <w:szCs w:val="20"/>
        </w:rPr>
        <w:t xml:space="preserve">"Using Claude for systematic literature reviews" — Mid-chat — “Citation Rules” section</w:t>
      </w:r>
    </w:p>
    <w:p>
      <w:pPr>
        <w:pStyle w:val="Heading2"/>
      </w:pPr>
      <w:r>
        <w:t xml:space="preserve">2.4 Preprint servers as a separate stream</w:t>
      </w:r>
    </w:p>
    <w:p>
      <w:pPr>
        <w:pStyle w:val="ListParagraph"/>
        <w:numPr>
          <w:ilvl w:val="0"/>
          <w:numId w:val="2"/>
        </w:numPr>
        <w:spacing w:after="60"/>
      </w:pPr>
      <w:r>
        <w:t xml:space="preserve">Document preprint search (arXiv cs.SE and cs.HC primary; SSRN, OSF Preprints, TechRxiv as secondary) as a distinct identification stream. Apply the same substantive inclusion criteria as peer-reviewed work plus a methodological-transparency check: short opinion pieces or position statements without a methods section do not meet the bar; structured empirical or conceptual contributions do.</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“The archives worth checking directly” / “How to handle preprints methodologically”</w:t>
      </w:r>
    </w:p>
    <w:p>
      <w:pPr>
        <w:pStyle w:val="ListParagraph"/>
        <w:numPr>
          <w:ilvl w:val="0"/>
          <w:numId w:val="2"/>
        </w:numPr>
        <w:spacing w:after="60"/>
      </w:pPr>
      <w:r>
        <w:t xml:space="preserve">Tag each included preprint with a `preprint` flag; if a preprint is formally published before submission, update the citation; otherwise note its preprint status explicitly in the extraction matrix and the SLR text.</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Section labeled “How to handle preprints methodologically”</w:t>
      </w:r>
    </w:p>
    <w:p>
      <w:pPr>
        <w:pStyle w:val="Heading2"/>
      </w:pPr>
      <w:r>
        <w:t xml:space="preserve">2.5 Curated grey-literature streams (Coursework and Practitioner Network)</w:t>
      </w:r>
    </w:p>
    <w:p>
      <w:pPr>
        <w:pStyle w:val="ListParagraph"/>
        <w:numPr>
          <w:ilvl w:val="0"/>
          <w:numId w:val="2"/>
        </w:numPr>
        <w:spacing w:after="60"/>
      </w:pPr>
      <w:r>
        <w:t xml:space="preserve">Document Coursework as a stream of “records identified through prior author engagement with the field” — NOT as committee-curated. Apply two author-specific exclusion rules in addition to the standard criteria: (a) documents authored by the reviewer themselves are excluded to avoid self-citation bias; (b) course-platform pages (Purdue Brightspace URLs) are excluded as non-citable instructional material. A drafted methods-chapter passage for this is available for direct reuse.</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“Methods chapter language, corrected” block quote for Coursework</w:t>
      </w:r>
    </w:p>
    <w:p>
      <w:pPr>
        <w:pStyle w:val="ListParagraph"/>
        <w:numPr>
          <w:ilvl w:val="0"/>
          <w:numId w:val="2"/>
        </w:numPr>
        <w:spacing w:after="60"/>
      </w:pPr>
      <w:r>
        <w:t xml:space="preserve">Establish a Practitioner Network stream prospectively (declared monitored sources list, named informants, structural search queries run on a defined cadence) so that the stream has a defensible start date rather than appearing back-filled. Apply tighter grey-literature criteria: named authorship with verifiable standing, substantive claim beyond opinion, archivable stable citation.</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“Prospective vs retrospective documentation” / “Recommendation” 5-step list</w:t>
      </w:r>
    </w:p>
    <w:p>
      <w:pPr>
        <w:pStyle w:val="ListParagraph"/>
        <w:numPr>
          <w:ilvl w:val="0"/>
          <w:numId w:val="2"/>
        </w:numPr>
        <w:spacing w:after="60"/>
      </w:pPr>
      <w:r>
        <w:t xml:space="preserve">For grey literature inclusion at the item level, require: (1) author with demonstrable expertise (anonymous out); (2) substantive claim beyond opinion (data, framework, case study, defined practice); (3) archivable and citable (capture via Wayback at time of inclusion; record archive URL in Zotero); (4) categorizable as one of: industry report, practitioner framework, expert commentary, or case study.</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“A practical middle path” 4-criterion list</w:t>
      </w:r>
    </w:p>
    <w:p>
      <w:pPr>
        <w:pStyle w:val="ListParagraph"/>
        <w:numPr>
          <w:ilvl w:val="0"/>
          <w:numId w:val="2"/>
        </w:numPr>
        <w:spacing w:after="60"/>
      </w:pPr>
      <w:r>
        <w:t xml:space="preserve">Cap practitioner-stream count (e.g., 20–30 industry sources across all types) so the category does not dominate the corpus. The cap forces strict application of quality criteria.</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“Cap the count”</w:t>
      </w:r>
    </w:p>
    <w:p>
      <w:pPr>
        <w:pStyle w:val="ListParagraph"/>
        <w:numPr>
          <w:ilvl w:val="0"/>
          <w:numId w:val="2"/>
        </w:numPr>
        <w:spacing w:after="60"/>
      </w:pPr>
      <w:r>
        <w:t xml:space="preserve">Tag grey-literature items distinctly (e.g., `grey-lit` tag or an [ICOMM] label) so the synthesis chapter can transparently say “drawing on N peer-reviewed and M practitioner sources…”</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“Tag these distinctly in your corpus”</w:t>
      </w:r>
    </w:p>
    <w:p>
      <w:pPr>
        <w:pStyle w:val="ListParagraph"/>
        <w:numPr>
          <w:ilvl w:val="0"/>
          <w:numId w:val="2"/>
        </w:numPr>
        <w:spacing w:after="60"/>
      </w:pPr>
      <w:r>
        <w:t xml:space="preserve">Methods-chapter rationale for keeping practitioner sources: in a fast-moving field, academic publication lags practitioner knowledge by 12–24+ months, so a corpus restricted to peer-reviewed work describes the field as it was 18 months ago. The resulting two-track corpus (academic + practitioner) supports a synthesis-chapter argument that names the gap between peer-reviewed framing and practitioner reality.</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“The case for a dedicated industry-source category” / “One consequence worth thinking about”</w:t>
      </w:r>
    </w:p>
    <w:p>
      <w:pPr>
        <w:pStyle w:val="Heading2"/>
      </w:pPr>
      <w:r>
        <w:t xml:space="preserve">2.6 Saturation argument and database sufficiency</w:t>
      </w:r>
    </w:p>
    <w:p>
      <w:pPr>
        <w:pStyle w:val="ListParagraph"/>
        <w:numPr>
          <w:ilvl w:val="0"/>
          <w:numId w:val="2"/>
        </w:numPr>
        <w:spacing w:after="60"/>
      </w:pPr>
      <w:r>
        <w:t xml:space="preserve">Use the WoS dedupe rate as evidence of saturation: WoS yielded 116 unique new records (35% of total) with a 65% overlap against the existing IEEE+ACM+Scopus+arXiv corpus, supporting a methods-chapter statement that “the addition of WoS as a fifth database yielded… a 65% overlap, suggesting the multi-database strategy had reached a reasonable saturation level.”</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Mid-chat — “One meta point worth noting for your methods chapter”</w:t>
      </w:r>
    </w:p>
    <w:p>
      <w:pPr>
        <w:pStyle w:val="ListParagraph"/>
        <w:numPr>
          <w:ilvl w:val="0"/>
          <w:numId w:val="2"/>
        </w:numPr>
        <w:spacing w:after="60"/>
      </w:pPr>
      <w:r>
        <w:t xml:space="preserve">When a coverage gap surfaces during synthesis (e.g., empirical/qualitative organizational research, overtrust constructs), the right response is a targeted back-fill query within an existing database, not adding a new database stream. Document any back-fill queries in the search log with the same metadata as primary queries.</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Mid-chat — “What I’d do if I were in your shoes”</w:t>
      </w:r>
    </w:p>
    <w:p>
      <w:pPr>
        <w:pStyle w:val="Heading1"/>
      </w:pPr>
      <w:r>
        <w:t xml:space="preserve">3. Screening and Classification</w:t>
      </w:r>
    </w:p>
    <w:p>
      <w:pPr>
        <w:pStyle w:val="Heading2"/>
      </w:pPr>
      <w:r>
        <w:t xml:space="preserve">3.1 Single-coder protocol and bias controls</w:t>
      </w:r>
    </w:p>
    <w:p>
      <w:pPr>
        <w:pStyle w:val="ListParagraph"/>
        <w:numPr>
          <w:ilvl w:val="0"/>
          <w:numId w:val="2"/>
        </w:numPr>
        <w:spacing w:after="60"/>
      </w:pPr>
      <w:r>
        <w:t xml:space="preserve">Document explicitly that screening is performed by a single coder, with a calibration session run on the first 10–15 articles followed by a consistency review of those decisions. State the pre-defined exclusion rule (e.g., “if the abstract mentions neither code governance, oversight, review scaling, nor AI-generated code risk, it is excluded regardless of keyword overlap”) and apply it mechanically.</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Mid-chat — “Add instead” block (calibration session, decision log, exclusion discipline, revisit pass)</w:t>
      </w:r>
    </w:p>
    <w:p>
      <w:pPr>
        <w:pStyle w:val="ListParagraph"/>
        <w:numPr>
          <w:ilvl w:val="0"/>
          <w:numId w:val="2"/>
        </w:numPr>
        <w:spacing w:after="60"/>
      </w:pPr>
      <w:r>
        <w:t xml:space="preserve">Maintain a decision log with one-sentence rationales only on non-obvious calls (∼20–30% of articles), particularly on REL-CORE vs REL-ADJACENT borderline items and any case where assigning an OSA tag feels like a stretch. The log becomes the audit trail in the methods section.</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Mid-chat — “Decision log”</w:t>
      </w:r>
    </w:p>
    <w:p>
      <w:pPr>
        <w:pStyle w:val="ListParagraph"/>
        <w:numPr>
          <w:ilvl w:val="0"/>
          <w:numId w:val="2"/>
        </w:numPr>
        <w:spacing w:after="60"/>
      </w:pPr>
      <w:r>
        <w:t xml:space="preserve">Plan a lightweight second pass over the ADJACENT bin after full corpus screening; by then the REL-CORE picture is sharper and some adjacents may pull in (or weaker ones drop out).</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Mid-chat — “Revisit pass”</w:t>
      </w:r>
    </w:p>
    <w:p>
      <w:pPr>
        <w:pStyle w:val="ListParagraph"/>
        <w:numPr>
          <w:ilvl w:val="0"/>
          <w:numId w:val="2"/>
        </w:numPr>
        <w:spacing w:after="60"/>
      </w:pPr>
      <w:r>
        <w:t xml:space="preserve">For inter-rater reliability in single-coder dissertation SLRs, the standard approach is for the advisor or a committee member to spot-check 10–15% of title/abstract decisions; report the agreement percentage. Confirm with Thomas which version (second screener vs spot-check) the program expects before starting.</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paragraph beginning “One additional note: PRISMA 2020 asks you to report inter-rater reliability…”</w:t>
      </w:r>
    </w:p>
    <w:p>
      <w:pPr>
        <w:pStyle w:val="ListParagraph"/>
        <w:numPr>
          <w:ilvl w:val="0"/>
          <w:numId w:val="2"/>
        </w:numPr>
        <w:spacing w:after="60"/>
      </w:pPr>
      <w:r>
        <w:t xml:space="preserve">Classification decisions must be made by the human coder; AI assistance is acceptable as a consistency-check tool that confirms or pushes back on reasoning, but the methods statement “abstracts were screened by a single coder using the following inclusion/exclusion criteria” must be true. Frame Claude as a tool that helps apply the coder’s criteria more consistently, not as a decision-maker.</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Late chat — “The academic integrity question” / “What the current approach actually is”</w:t>
      </w:r>
    </w:p>
    <w:p>
      <w:pPr>
        <w:pStyle w:val="Heading2"/>
      </w:pPr>
      <w:r>
        <w:t xml:space="preserve">3.2 Two-pass screening workflow</w:t>
      </w:r>
    </w:p>
    <w:p>
      <w:pPr>
        <w:pStyle w:val="ListParagraph"/>
        <w:numPr>
          <w:ilvl w:val="0"/>
          <w:numId w:val="2"/>
        </w:numPr>
        <w:spacing w:after="60"/>
      </w:pPr>
      <w:r>
        <w:t xml:space="preserve">Document the two-pass workflow: Pass 1 (title/abstract screening) screens for obvious excludes only against pre-defined criteria; Pass 2 (full-text or close-read of survivors) applies the methodological-transparency check for preprints and resolves Maybes. Treat Pass 2 explicitly as weeding rather than confirmation — the goal is to strip items that match by keyword but not in substance.</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Late chat — “Pass 2 as weeding, not confirmation”</w:t>
      </w:r>
    </w:p>
    <w:p>
      <w:pPr>
        <w:pStyle w:val="ListParagraph"/>
        <w:numPr>
          <w:ilvl w:val="0"/>
          <w:numId w:val="2"/>
        </w:numPr>
        <w:spacing w:after="60"/>
      </w:pPr>
      <w:r>
        <w:t xml:space="preserve">After Pass 2 / before extraction, sit with the confirmed Keep list and review theme balance to surface real synthesis gaps (not search gaps). If a theme is thin, decide whether a targeted back-fill query is warranted before extraction begins.</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Mid-chat — “What I’d actually sequence” 7-step list</w:t>
      </w:r>
    </w:p>
    <w:p>
      <w:pPr>
        <w:pStyle w:val="ListParagraph"/>
        <w:numPr>
          <w:ilvl w:val="0"/>
          <w:numId w:val="2"/>
        </w:numPr>
        <w:spacing w:after="60"/>
      </w:pPr>
      <w:r>
        <w:t xml:space="preserve">Sequence after Pass 2: data extraction (study type, method, population, AI tool studied, RQ alignment, key finding) into a matrix, THEN coding/topic tagging on the extracted matrix — not on the papers themselves. Topic tags applied before reading lock in a mental model and become self-fulfilling. Extraction-before-coding is the SLR standard.</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Mid-chat — “My suggestion for sequencing after Pass 1” (Steps A/B/C)</w:t>
      </w:r>
    </w:p>
    <w:p>
      <w:pPr>
        <w:pStyle w:val="ListParagraph"/>
        <w:numPr>
          <w:ilvl w:val="0"/>
          <w:numId w:val="2"/>
        </w:numPr>
        <w:spacing w:after="60"/>
      </w:pPr>
      <w:r>
        <w:t xml:space="preserve">Rename the Zotero “Classification” top-level collection to “Screening” to align with PRISMA 2020 terminology. “Classification” in SLR usage refers to a Pass-2 thematic activity, while the four-bucket structure (00 Queue / 01 Keep / 02 Maybe / 03 Discard) is actually screening. Keep the four-bucket structure unchanged.</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“The PRISMA-native name” / “Recommendation”</w:t>
      </w:r>
    </w:p>
    <w:p>
      <w:pPr>
        <w:pStyle w:val="Heading2"/>
      </w:pPr>
      <w:r>
        <w:t xml:space="preserve">3.3 Exclusion reason codes</w:t>
      </w:r>
    </w:p>
    <w:p>
      <w:pPr>
        <w:pStyle w:val="ListParagraph"/>
        <w:numPr>
          <w:ilvl w:val="0"/>
          <w:numId w:val="2"/>
        </w:numPr>
        <w:spacing w:after="60"/>
      </w:pPr>
      <w:r>
        <w:t xml:space="preserve">Use a short fixed list of primary exclusion reasons, one per record: out-of-scope, wrong-level (technical without organizational/human dimension), wrong-type (opinion piece without evidence base), too-old (pre-LLM era unless foundational theory), duplicate, not-retrievable, quality-threshold-not-met. One reason per record — the first disqualifying factor.</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“Yes, but keep it simple…” list of PRISMA standard reason categories</w:t>
      </w:r>
    </w:p>
    <w:p>
      <w:pPr>
        <w:pStyle w:val="ListParagraph"/>
        <w:numPr>
          <w:ilvl w:val="0"/>
          <w:numId w:val="2"/>
        </w:numPr>
        <w:spacing w:after="60"/>
      </w:pPr>
      <w:r>
        <w:t xml:space="preserve">Apply the reason consistently across analogous records: if one practitioner opinion piece is excluded, all similar pieces are excluded — do not exclude items that contradict the emerging thesis while including ones that support it. Consistency is what the reason coding actually protects against.</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paragraph after the reason-categories list (“The most important discipline is being consistent…”)</w:t>
      </w:r>
    </w:p>
    <w:p>
      <w:pPr>
        <w:pStyle w:val="ListParagraph"/>
        <w:numPr>
          <w:ilvl w:val="0"/>
          <w:numId w:val="2"/>
        </w:numPr>
        <w:spacing w:after="60"/>
      </w:pPr>
      <w:r>
        <w:t xml:space="preserve">Two new exclusion rules added during screening: (a) documents authored by the reviewer himself are classified as Discard unless explicitly noted otherwise; (b) Purdue Brightspace URLs are classified as Discard — they are course-platform pages, not citable scholarly sources. Both should be listed in the methods-chapter exclusion criteria.</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“Methods chapter language, corrected” block, two author-specific exclusion rules</w:t>
      </w:r>
    </w:p>
    <w:p>
      <w:pPr>
        <w:pStyle w:val="Heading2"/>
      </w:pPr>
      <w:r>
        <w:t xml:space="preserve">3.4 Classification (Pass 2) tag schema</w:t>
      </w:r>
    </w:p>
    <w:p>
      <w:pPr>
        <w:pStyle w:val="ListParagraph"/>
        <w:numPr>
          <w:ilvl w:val="0"/>
          <w:numId w:val="2"/>
        </w:numPr>
        <w:spacing w:after="60"/>
      </w:pPr>
      <w:r>
        <w:t xml:space="preserve">Five-dimension classification tag schema with prefixed Zotero tags: T: (topic domain, e.g., RISK-SEC, VIBE-DEFN, OVERSIGHT-HUMAN), S: (solution type, e.g., SOL-TOOL, SOL-PROCESS, SOL-FRAMEWORK, SOL-HYBRID), M: (research method, e.g., M-SLR, M-EMPIRICAL, M-CASE), R: (relevance to core RQ: REL-CORE / REL-ADJACENT / REL-WEAK / REL-EXCLUDE), and OSA: (oversight scaling angle, multi-select, e.g., OSA-VOLUME, OSA-BIAS, OSA-FATIGUE, OSA-ACCOUNTABILITY, OSA-SHADOW). Document the complete schema in an appendix.</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Mid-chat — the five-dimension tag schema with Dimension 1 through Dimension 5 tables</w:t>
      </w:r>
    </w:p>
    <w:p>
      <w:pPr>
        <w:pStyle w:val="ListParagraph"/>
        <w:numPr>
          <w:ilvl w:val="0"/>
          <w:numId w:val="2"/>
        </w:numPr>
        <w:spacing w:after="60"/>
      </w:pPr>
      <w:r>
        <w:t xml:space="preserve">Three-dimensional tagging from the earlier discussion is compatible: Risk type, Intervention type, Scalability mechanism (yes/no), Evidence type. The five-dimension scheme above is the operational refinement of this idea.</w:t>
      </w:r>
    </w:p>
    <w:p>
      <w:pPr>
        <w:pStyle w:val="ListParagraph"/>
        <w:numPr>
          <w:ilvl w:val="1"/>
          <w:numId w:val="2"/>
        </w:numPr>
        <w:spacing w:after="140"/>
      </w:pPr>
      <w:r>
        <w:rPr>
          <w:i/>
          <w:iCs/>
          <w:sz w:val="20"/>
          <w:szCs w:val="20"/>
        </w:rPr>
        <w:t xml:space="preserve">Source: </w:t>
      </w:r>
      <w:r>
        <w:rPr>
          <w:i/>
          <w:iCs/>
          <w:sz w:val="20"/>
          <w:szCs w:val="20"/>
        </w:rPr>
        <w:t xml:space="preserve">"Literature review selection and tagging principles" — Mid-chat — “A three-tier tag taxonomy”</w:t>
      </w:r>
    </w:p>
    <w:p>
      <w:pPr>
        <w:pStyle w:val="ListParagraph"/>
        <w:numPr>
          <w:ilvl w:val="0"/>
          <w:numId w:val="2"/>
        </w:numPr>
        <w:spacing w:after="60"/>
      </w:pPr>
      <w:r>
        <w:t xml:space="preserve">For SCOPUS Queue items, theme:* tags applied as pre-screening batching aids (governance, oversight, risk, orgs, tooling, empirical, vibe-coding, other) are explicitly screening aids only — a screening decision in another source takes priority over the queued status. The methods chapter should clarify that theme tags are sorting/filtering aids, not classification decisions.</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Mid-chat — “The themes in scopus where aids for screening” exchange</w:t>
      </w:r>
    </w:p>
    <w:p>
      <w:pPr>
        <w:pStyle w:val="Heading1"/>
      </w:pPr>
      <w:r>
        <w:t xml:space="preserve">4. Tools and Data Management</w:t>
      </w:r>
    </w:p>
    <w:p>
      <w:pPr>
        <w:pStyle w:val="Heading2"/>
      </w:pPr>
      <w:r>
        <w:t xml:space="preserve">4.1 Reference manager and screening tool</w:t>
      </w:r>
    </w:p>
    <w:p>
      <w:pPr>
        <w:pStyle w:val="ListParagraph"/>
        <w:numPr>
          <w:ilvl w:val="0"/>
          <w:numId w:val="2"/>
        </w:numPr>
        <w:spacing w:after="60"/>
      </w:pPr>
      <w:r>
        <w:t xml:space="preserve">Justify Zotero 8.0.5 as the screening platform on the basis of corpus scale (low thousands rather than tens of thousands), existing familiarity, and the ability to run the entire PRISMA workflow in-tool via tags/collections without learning Rayyan mid-project. Note that Rayyan is the alternative for higher-volume projects (&gt;several thousand records after dedup).</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“One limitation to know” / “Given that you already know Zotero…”</w:t>
      </w:r>
    </w:p>
    <w:p>
      <w:pPr>
        <w:pStyle w:val="ListParagraph"/>
        <w:numPr>
          <w:ilvl w:val="0"/>
          <w:numId w:val="2"/>
        </w:numPr>
        <w:spacing w:after="60"/>
      </w:pPr>
      <w:r>
        <w:t xml:space="preserve">Document the Zotero collection-based provenance structure: source collections by query number serve as permanent provenance records (replacing the originally proposed Q: tags entirely); a parallel Screening structure holds the four-bucket workflow. Items are added to working collections without being removed from source collections, preserving multi-collection membership.</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Mid-late chat — “Zotero working structure” / “they are already in a collection by query” exchange</w:t>
      </w:r>
    </w:p>
    <w:p>
      <w:pPr>
        <w:pStyle w:val="ListParagraph"/>
        <w:numPr>
          <w:ilvl w:val="0"/>
          <w:numId w:val="2"/>
        </w:numPr>
        <w:spacing w:after="60"/>
      </w:pPr>
      <w:r>
        <w:t xml:space="preserve">Document the deduplication rule: always merge, never delete. Zotero’s built-in merge retains all collection memberships and tags on the surviving record, so a paper appearing in Q3, Q7, and Q12 keeps membership in all three collections after merge. Deleting one of the duplicates would lose collection memberships and tags.</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Mid-late chat — “Loads of duplicates” exchange and the rule “always merge, never delete”</w:t>
      </w:r>
    </w:p>
    <w:p>
      <w:pPr>
        <w:pStyle w:val="ListParagraph"/>
        <w:numPr>
          <w:ilvl w:val="0"/>
          <w:numId w:val="2"/>
        </w:numPr>
        <w:spacing w:after="60"/>
      </w:pPr>
      <w:r>
        <w:t xml:space="preserve">Two-bucket WoS dedup workflow: (1) for items Zotero auto-merged across sources (single item now living in a WoS query collection AND another source’s collections), update the WoS-side screening to match the existing decision on the non-WoS side; (2) for items in a manually maintained “WoS-Duplicates” collection (cases Zotero couldn’t auto-merge due to differing item types), apply superseded logic (keep the most-advanced item type, send inferior to Superseded). Document this in the methods chapter as the cross-source dedup procedure.</w:t>
      </w:r>
    </w:p>
    <w:p>
      <w:pPr>
        <w:pStyle w:val="ListParagraph"/>
        <w:numPr>
          <w:ilvl w:val="1"/>
          <w:numId w:val="2"/>
        </w:numPr>
        <w:spacing w:after="140"/>
      </w:pPr>
      <w:r>
        <w:rPr>
          <w:i/>
          <w:iCs/>
          <w:sz w:val="20"/>
          <w:szCs w:val="20"/>
        </w:rPr>
        <w:t xml:space="preserve">Source: </w:t>
      </w:r>
      <w:r>
        <w:rPr>
          <w:i/>
          <w:iCs/>
          <w:sz w:val="20"/>
          <w:szCs w:val="20"/>
        </w:rPr>
        <w:t xml:space="preserve">"Vibe Coding Governance SLR arXiv import setup" — Late chat — “Revision — first do the check for items zotero merged…”</w:t>
      </w:r>
    </w:p>
    <w:p>
      <w:pPr>
        <w:pStyle w:val="Heading2"/>
      </w:pPr>
      <w:r>
        <w:t xml:space="preserve">4.2 Search log and audit trail</w:t>
      </w:r>
    </w:p>
    <w:p>
      <w:pPr>
        <w:pStyle w:val="ListParagraph"/>
        <w:numPr>
          <w:ilvl w:val="0"/>
          <w:numId w:val="2"/>
        </w:numPr>
        <w:spacing w:after="60"/>
      </w:pPr>
      <w:r>
        <w:t xml:space="preserve">Maintain a Query_Composition_and_Log.xlsx with one row per query, documenting: query ID (Q-IEEE-NN, Q-ACM-NN, Q-SCO-NN, Q-WoS-NN, Q-arXiv-NN), category, database, search field, date run, hit count, and a Notes column for methodological annotations (e.g., calibration findings, justification for query revisions).</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“Log this properly” / “Add to the Query_Log workbook”</w:t>
      </w:r>
    </w:p>
    <w:p>
      <w:pPr>
        <w:pStyle w:val="ListParagraph"/>
        <w:numPr>
          <w:ilvl w:val="0"/>
          <w:numId w:val="2"/>
        </w:numPr>
        <w:spacing w:after="60"/>
      </w:pPr>
      <w:r>
        <w:t xml:space="preserve">Use named Excel ranges (e.g., Tool_Names) with CONCAT formulas to dynamically generate tool-specific query strings; this keeps the tool list (GitHub Copilot, Codex, Claude Code, Cursor, Tabnine, CodeWhisperer, Gemini Code, Replit, Windsurf, Aider, Devin) maintainable in one place across all tool-specific queries.</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Mid-chat — query design discussion (Q17–22 tool-specific block)</w:t>
      </w:r>
    </w:p>
    <w:p>
      <w:pPr>
        <w:pStyle w:val="ListParagraph"/>
        <w:numPr>
          <w:ilvl w:val="0"/>
          <w:numId w:val="2"/>
        </w:numPr>
        <w:spacing w:after="60"/>
      </w:pPr>
      <w:r>
        <w:t xml:space="preserve">Save RIS exports in numbered folders matching query numbers; use simple naming conventions to avoid character-restriction issues across operating systems.</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Early chat — RIS file organization conventions</w:t>
      </w:r>
    </w:p>
    <w:p>
      <w:pPr>
        <w:pStyle w:val="Heading1"/>
      </w:pPr>
      <w:r>
        <w:t xml:space="preserve">5. PRISMA Reporting and Counts</w:t>
      </w:r>
    </w:p>
    <w:p>
      <w:pPr>
        <w:pStyle w:val="Heading2"/>
      </w:pPr>
      <w:r>
        <w:t xml:space="preserve">5.1 PRISMA flow diagram</w:t>
      </w:r>
    </w:p>
    <w:p>
      <w:pPr>
        <w:pStyle w:val="ListParagraph"/>
        <w:numPr>
          <w:ilvl w:val="0"/>
          <w:numId w:val="2"/>
        </w:numPr>
        <w:spacing w:after="60"/>
      </w:pPr>
      <w:r>
        <w:t xml:space="preserve">Generate the PRISMA flow diagram with separate identification streams visible: each database (IEEE, ACM, Scopus, WoS, arXiv) as its own column, plus Coursework and Practitioner Network as “other methods” streams. Coursework and other prior knowledge enter at the deduplication stage, not the search stage.</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“A note on the timeline in your PRISMA flow”</w:t>
      </w:r>
    </w:p>
    <w:p>
      <w:pPr>
        <w:pStyle w:val="ListParagraph"/>
        <w:numPr>
          <w:ilvl w:val="0"/>
          <w:numId w:val="2"/>
        </w:numPr>
        <w:spacing w:after="60"/>
      </w:pPr>
      <w:r>
        <w:t xml:space="preserve">Report at each PRISMA stage: records identified (broken out by source), records after deduplication, records screened at title/abstract, records excluded at title/abstract (with reason category counts), full-text articles assessed, full-text excluded (with specific reasons), studies included in final synthesis.</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“The PRISMA flow diagram requires you to report numbers at each stage”</w:t>
      </w:r>
    </w:p>
    <w:p>
      <w:pPr>
        <w:pStyle w:val="Heading2"/>
      </w:pPr>
      <w:r>
        <w:t xml:space="preserve">5.2 Counting reliably</w:t>
      </w:r>
    </w:p>
    <w:p>
      <w:pPr>
        <w:pStyle w:val="ListParagraph"/>
        <w:numPr>
          <w:ilvl w:val="0"/>
          <w:numId w:val="2"/>
        </w:numPr>
        <w:spacing w:after="60"/>
      </w:pPr>
      <w:r>
        <w:t xml:space="preserve">Be explicit about which count is being reported: “how many papers” (unique top-level bibliographic records, deduplicated by item key); “how many items” (may include child attachments and notes); “how many records this query returned” (raw per-collection count, may include cross-collection duplicates). Methods chapter and PRISMA diagram should specify which is being reported at each stage.</w:t>
      </w:r>
    </w:p>
    <w:p>
      <w:pPr>
        <w:pStyle w:val="ListParagraph"/>
        <w:numPr>
          <w:ilvl w:val="1"/>
          <w:numId w:val="2"/>
        </w:numPr>
        <w:spacing w:after="140"/>
      </w:pPr>
      <w:r>
        <w:rPr>
          <w:i/>
          <w:iCs/>
          <w:sz w:val="20"/>
          <w:szCs w:val="20"/>
        </w:rPr>
        <w:t xml:space="preserve">Source: </w:t>
      </w:r>
      <w:r>
        <w:rPr>
          <w:i/>
          <w:iCs/>
          <w:sz w:val="20"/>
          <w:szCs w:val="20"/>
        </w:rPr>
        <w:t xml:space="preserve">"Zotero skill / library convention (used across screening chats)" — Skill reference — “Counting items reliably” section in zotero SKILL.md</w:t>
      </w:r>
    </w:p>
    <w:p>
      <w:pPr>
        <w:pStyle w:val="ListParagraph"/>
        <w:numPr>
          <w:ilvl w:val="0"/>
          <w:numId w:val="2"/>
        </w:numPr>
        <w:spacing w:after="60"/>
      </w:pPr>
      <w:r>
        <w:t xml:space="preserve">For unique counts across overlapping query collections, always work with sets of item keys rather than summing per-collection counts (which double-count duplicates). Document this in the methods chapter so the deduplication procedure is reproducible.</w:t>
      </w:r>
    </w:p>
    <w:p>
      <w:pPr>
        <w:pStyle w:val="ListParagraph"/>
        <w:numPr>
          <w:ilvl w:val="1"/>
          <w:numId w:val="2"/>
        </w:numPr>
        <w:spacing w:after="140"/>
      </w:pPr>
      <w:r>
        <w:rPr>
          <w:i/>
          <w:iCs/>
          <w:sz w:val="20"/>
          <w:szCs w:val="20"/>
        </w:rPr>
        <w:t xml:space="preserve">Source: </w:t>
      </w:r>
      <w:r>
        <w:rPr>
          <w:i/>
          <w:iCs/>
          <w:sz w:val="20"/>
          <w:szCs w:val="20"/>
        </w:rPr>
        <w:t xml:space="preserve">"Zotero skill / library convention (used across screening chats)" — Skill reference — “Per-collection sums are not unique counts”</w:t>
      </w:r>
    </w:p>
    <w:p>
      <w:pPr>
        <w:pStyle w:val="ListParagraph"/>
        <w:numPr>
          <w:ilvl w:val="0"/>
          <w:numId w:val="2"/>
        </w:numPr>
        <w:spacing w:after="60"/>
      </w:pPr>
      <w:r>
        <w:t xml:space="preserve">Cross-check at least one stage count against the API’s Total-Results header on first run; a pagination bug (fixed April 2026) caused some prior tooling to silently truncate at 100 items — any count hitting exactly 100 should be re-verified.</w:t>
      </w:r>
    </w:p>
    <w:p>
      <w:pPr>
        <w:pStyle w:val="ListParagraph"/>
        <w:numPr>
          <w:ilvl w:val="1"/>
          <w:numId w:val="2"/>
        </w:numPr>
        <w:spacing w:after="140"/>
      </w:pPr>
      <w:r>
        <w:rPr>
          <w:i/>
          <w:iCs/>
          <w:sz w:val="20"/>
          <w:szCs w:val="20"/>
        </w:rPr>
        <w:t xml:space="preserve">Source: </w:t>
      </w:r>
      <w:r>
        <w:rPr>
          <w:i/>
          <w:iCs/>
          <w:sz w:val="20"/>
          <w:szCs w:val="20"/>
        </w:rPr>
        <w:t xml:space="preserve">"Zotero skill / library convention (used across screening chats)" — Skill reference — “Verifying counts before reporting them”</w:t>
      </w:r>
    </w:p>
    <w:p>
      <w:pPr>
        <w:pStyle w:val="Heading1"/>
      </w:pPr>
      <w:r>
        <w:t xml:space="preserve">6. Synthesis Structure (Informs Methods Chapter Framing)</w:t>
      </w:r>
    </w:p>
    <w:p>
      <w:pPr>
        <w:pStyle w:val="Heading2"/>
      </w:pPr>
      <w:r>
        <w:t xml:space="preserve">6.1 Five thematic pillars</w:t>
      </w:r>
    </w:p>
    <w:p>
      <w:pPr>
        <w:pStyle w:val="ListParagraph"/>
        <w:numPr>
          <w:ilvl w:val="0"/>
          <w:numId w:val="2"/>
        </w:numPr>
        <w:spacing w:after="60"/>
      </w:pPr>
      <w:r>
        <w:t xml:space="preserve">Organize the synthesis (and frame the methods extraction matrix accordingly) around five thematic sections: (1) The Vibe Coding Phenomenon (definitional and adoption framing); (2) The Risk Landscape (code quality, security vulnerabilities, accountability gap); (3) Human Oversight and the Reviewer Capacity Problem (the intellectual heart of the dissertation); (4) Organizational Governance Responses (Carmichael tiering, Pa/IAPP, CISA, NIST AI 1001, joint OT guidance); (5) Theoretical Synthesis and Research Gaps.</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Sections 1–5 thematic structure</w:t>
      </w:r>
    </w:p>
    <w:p>
      <w:pPr>
        <w:pStyle w:val="ListParagraph"/>
        <w:numPr>
          <w:ilvl w:val="0"/>
          <w:numId w:val="2"/>
        </w:numPr>
        <w:spacing w:after="60"/>
      </w:pPr>
      <w:r>
        <w:t xml:space="preserve">Document the explicit research gap that the SLR identifies as motivation for the dissertation: the absence of empirical organizational studies on risk recognition (not just mitigation) — how organizations know they have a problem before something goes wrong. Connect this gap to Sabatier’s policy process theory (governance angle) and Poppendieck’s lean framing (engineering management angle).</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“Section 5 — Theoretical Synthesis and Research Gaps”</w:t>
      </w:r>
    </w:p>
    <w:p>
      <w:pPr>
        <w:pStyle w:val="ListParagraph"/>
        <w:numPr>
          <w:ilvl w:val="0"/>
          <w:numId w:val="2"/>
        </w:numPr>
        <w:spacing w:after="60"/>
      </w:pPr>
      <w:r>
        <w:t xml:space="preserve">Report results by stream category in the synthesis chapter to enable an explicit comparison of peer-reviewed framing vs practitioner framing of governance — the structural separation of academic and practitioner streams enables a synthesis-chapter argument that could not exist without that separation.</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Late chat — “One consequence worth thinking about”</w:t>
      </w:r>
    </w:p>
    <w:p>
      <w:pPr>
        <w:pStyle w:val="Heading1"/>
      </w:pPr>
      <w:r>
        <w:t xml:space="preserve">7. Ethics, AI-Use Disclosure, and Citation</w:t>
      </w:r>
    </w:p>
    <w:p>
      <w:pPr>
        <w:pStyle w:val="Heading2"/>
      </w:pPr>
      <w:r>
        <w:t xml:space="preserve">7.1 AI-use disclosure</w:t>
      </w:r>
    </w:p>
    <w:p>
      <w:pPr>
        <w:pStyle w:val="ListParagraph"/>
        <w:numPr>
          <w:ilvl w:val="0"/>
          <w:numId w:val="2"/>
        </w:numPr>
        <w:spacing w:after="60"/>
      </w:pPr>
      <w:r>
        <w:t xml:space="preserve">Include an explicit AI-use statement in the methods section disclosing: (1) Claude as a query-refinement and consistency-checking tool, (2) Gemini for AI-assisted candidate-source identification with verification protocol, and (3) the principle that Claude is not citeable as a source for literature claims — original papers remain the citable sources.</w:t>
      </w:r>
    </w:p>
    <w:p>
      <w:pPr>
        <w:pStyle w:val="ListParagraph"/>
        <w:numPr>
          <w:ilvl w:val="1"/>
          <w:numId w:val="2"/>
        </w:numPr>
        <w:spacing w:after="140"/>
      </w:pPr>
      <w:r>
        <w:rPr>
          <w:i/>
          <w:iCs/>
          <w:sz w:val="20"/>
          <w:szCs w:val="20"/>
        </w:rPr>
        <w:t xml:space="preserve">Source: </w:t>
      </w:r>
      <w:r>
        <w:rPr>
          <w:i/>
          <w:iCs/>
          <w:sz w:val="20"/>
          <w:szCs w:val="20"/>
        </w:rPr>
        <w:t xml:space="preserve">"Citing AI assistance in academic work" — Mid-chat — citation rules / practical suggestion</w:t>
      </w:r>
    </w:p>
    <w:p>
      <w:pPr>
        <w:pStyle w:val="ListParagraph"/>
        <w:numPr>
          <w:ilvl w:val="0"/>
          <w:numId w:val="2"/>
        </w:numPr>
        <w:spacing w:after="60"/>
      </w:pPr>
      <w:r>
        <w:t xml:space="preserve">Verify every citation produced with AI assistance — author names, years, titles, and page numbers are common error points; AI-generated citations are leads requiring verification, never confirmed records.</w:t>
      </w:r>
    </w:p>
    <w:p>
      <w:pPr>
        <w:pStyle w:val="ListParagraph"/>
        <w:numPr>
          <w:ilvl w:val="1"/>
          <w:numId w:val="2"/>
        </w:numPr>
        <w:spacing w:after="140"/>
      </w:pPr>
      <w:r>
        <w:rPr>
          <w:i/>
          <w:iCs/>
          <w:sz w:val="20"/>
          <w:szCs w:val="20"/>
        </w:rPr>
        <w:t xml:space="preserve">Source: </w:t>
      </w:r>
      <w:r>
        <w:rPr>
          <w:i/>
          <w:iCs/>
          <w:sz w:val="20"/>
          <w:szCs w:val="20"/>
        </w:rPr>
        <w:t xml:space="preserve">"Using Claude for systematic literature reviews" — Mid-chat — “You must verify everything”</w:t>
      </w:r>
    </w:p>
    <w:p>
      <w:pPr>
        <w:pStyle w:val="ListParagraph"/>
        <w:numPr>
          <w:ilvl w:val="0"/>
          <w:numId w:val="2"/>
        </w:numPr>
        <w:spacing w:after="60"/>
      </w:pPr>
      <w:r>
        <w:t xml:space="preserve">Note that intellectual judgment — inclusion/exclusion decisions, quality appraisal, interpretive conclusions — must remain the coder’s scholarly judgment, not delegated to AI. State this explicitly in the methods chapter alongside the AI-use disclosure.</w:t>
      </w:r>
    </w:p>
    <w:p>
      <w:pPr>
        <w:pStyle w:val="ListParagraph"/>
        <w:numPr>
          <w:ilvl w:val="1"/>
          <w:numId w:val="2"/>
        </w:numPr>
        <w:spacing w:after="140"/>
      </w:pPr>
      <w:r>
        <w:rPr>
          <w:i/>
          <w:iCs/>
          <w:sz w:val="20"/>
          <w:szCs w:val="20"/>
        </w:rPr>
        <w:t xml:space="preserve">Source: </w:t>
      </w:r>
      <w:r>
        <w:rPr>
          <w:i/>
          <w:iCs/>
          <w:sz w:val="20"/>
          <w:szCs w:val="20"/>
        </w:rPr>
        <w:t xml:space="preserve">"Using Claude for systematic literature reviews" — Mid-chat — “The intellectual judgment is yours”</w:t>
      </w:r>
    </w:p>
    <w:p>
      <w:pPr>
        <w:pStyle w:val="Heading1"/>
      </w:pPr>
      <w:r>
        <w:t xml:space="preserve">8. Items to Revisit Before Drafting</w:t>
      </w:r>
    </w:p>
    <w:p>
      <w:pPr>
        <w:pStyle w:val="Heading2"/>
      </w:pPr>
      <w:r>
        <w:t xml:space="preserve">8.1 Open methodology questions</w:t>
      </w:r>
    </w:p>
    <w:p>
      <w:pPr>
        <w:pStyle w:val="ListParagraph"/>
        <w:numPr>
          <w:ilvl w:val="0"/>
          <w:numId w:val="2"/>
        </w:numPr>
        <w:spacing w:after="60"/>
      </w:pPr>
      <w:r>
        <w:t xml:space="preserve">Confirm with Thomas (advisor) the program’s position on solo-coder screening vs second-screener requirement, and whether spot-check sample agreement reporting is sufficient.</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Mid-chat — “Ask Thomas how the program expects this to be handled”</w:t>
      </w:r>
    </w:p>
    <w:p>
      <w:pPr>
        <w:pStyle w:val="ListParagraph"/>
        <w:numPr>
          <w:ilvl w:val="0"/>
          <w:numId w:val="2"/>
        </w:numPr>
        <w:spacing w:after="60"/>
      </w:pPr>
      <w:r>
        <w:t xml:space="preserve">Confirm “accepted for publication” definition for the program requirement — currently understood to permit conference papers, but worth re-confirming before final venue selection from ICSE SEIP, EASE, HICSS.</w:t>
      </w:r>
    </w:p>
    <w:p>
      <w:pPr>
        <w:pStyle w:val="ListParagraph"/>
        <w:numPr>
          <w:ilvl w:val="1"/>
          <w:numId w:val="2"/>
        </w:numPr>
        <w:spacing w:after="140"/>
      </w:pPr>
      <w:r>
        <w:rPr>
          <w:i/>
          <w:iCs/>
          <w:sz w:val="20"/>
          <w:szCs w:val="20"/>
        </w:rPr>
        <w:t xml:space="preserve">Source: </w:t>
      </w:r>
      <w:r>
        <w:rPr>
          <w:i/>
          <w:iCs/>
          <w:sz w:val="20"/>
          <w:szCs w:val="20"/>
        </w:rPr>
        <w:t xml:space="preserve">"Systematic literature review on AI-generated code risk management" — Late chat — “The one thing I’d flag” / “My understanding is conference paper will be acceptable”</w:t>
      </w:r>
    </w:p>
    <w:p>
      <w:pPr>
        <w:pStyle w:val="ListParagraph"/>
        <w:numPr>
          <w:ilvl w:val="0"/>
          <w:numId w:val="2"/>
        </w:numPr>
        <w:spacing w:after="60"/>
      </w:pPr>
      <w:r>
        <w:t xml:space="preserve">If pursuing Practitioner Network as a formal stream, draft and date the one-page protocol (monitored sources list, expert informants, structural search queries, cadence, tighter grey-literature criteria) BEFORE collecting more items, so the stream is prospective rather than backfilled.</w:t>
      </w:r>
    </w:p>
    <w:p>
      <w:pPr>
        <w:pStyle w:val="ListParagraph"/>
        <w:numPr>
          <w:ilvl w:val="1"/>
          <w:numId w:val="2"/>
        </w:numPr>
        <w:spacing w:after="140"/>
      </w:pPr>
      <w:r>
        <w:rPr>
          <w:i/>
          <w:iCs/>
          <w:sz w:val="20"/>
          <w:szCs w:val="20"/>
        </w:rPr>
        <w:t xml:space="preserve">Source: </w:t>
      </w:r>
      <w:r>
        <w:rPr>
          <w:i/>
          <w:iCs/>
          <w:sz w:val="20"/>
          <w:szCs w:val="20"/>
        </w:rPr>
        <w:t xml:space="preserve">"IEEE Xplore and Coursework classifications review" — Mid-chat — “Recommendation” 5-step list (steps 1–4)</w:t>
      </w:r>
    </w:p>
    <w:p>
      <w:pPr>
        <w:pStyle w:val="ListParagraph"/>
        <w:numPr>
          <w:ilvl w:val="0"/>
          <w:numId w:val="2"/>
        </w:numPr>
        <w:spacing w:after="60"/>
      </w:pPr>
      <w:r>
        <w:t xml:space="preserve">Decide arXiv strategy after assessing IEEE Pass 1 Keep count: targeted queries on vibe coding and human oversight only, rather than mirroring all 22 IEEE queries.</w:t>
      </w:r>
    </w:p>
    <w:p>
      <w:pPr>
        <w:pStyle w:val="ListParagraph"/>
        <w:numPr>
          <w:ilvl w:val="1"/>
          <w:numId w:val="2"/>
        </w:numPr>
        <w:spacing w:after="140"/>
      </w:pPr>
      <w:r>
        <w:rPr>
          <w:i/>
          <w:iCs/>
          <w:sz w:val="20"/>
          <w:szCs w:val="20"/>
        </w:rPr>
        <w:t xml:space="preserve">Source: </w:t>
      </w:r>
      <w:r>
        <w:rPr>
          <w:i/>
          <w:iCs/>
          <w:sz w:val="20"/>
          <w:szCs w:val="20"/>
        </w:rPr>
        <w:t xml:space="preserve">"RIS file classification and tagging principles" — Late chat / chat summary — “For arXiv, the decision was to complete IEEE Pass 1 first…”</w:t>
      </w:r>
    </w:p>
    <w:p>
      <w:pPr>
        <w:pStyle w:val="ListParagraph"/>
        <w:numPr>
          <w:ilvl w:val="0"/>
          <w:numId w:val="2"/>
        </w:numPr>
        <w:spacing w:after="60"/>
      </w:pPr>
      <w:r>
        <w:t xml:space="preserve">Address remaining potential coverage gaps before locking the final corpus: regulatory/compliance frameworks (EU AI Act, NIST, CISA), prompt injection and supply chain attack terminology, agentic coding vocabulary, and developer overtrust/over-reliance constructs.</w:t>
      </w:r>
    </w:p>
    <w:p>
      <w:pPr>
        <w:pStyle w:val="ListParagraph"/>
        <w:numPr>
          <w:ilvl w:val="1"/>
          <w:numId w:val="2"/>
        </w:numPr>
        <w:spacing w:after="140"/>
      </w:pPr>
      <w:r>
        <w:rPr>
          <w:i/>
          <w:iCs/>
          <w:sz w:val="20"/>
          <w:szCs w:val="20"/>
        </w:rPr>
        <w:t xml:space="preserve">Source: </w:t>
      </w:r>
      <w:r>
        <w:rPr>
          <w:i/>
          <w:iCs/>
          <w:sz w:val="20"/>
          <w:szCs w:val="20"/>
        </w:rPr>
        <w:t xml:space="preserve">"Refining search query scope for AI code generation security" — Late chat — thematic gaps section</w:t>
      </w:r>
    </w:p>
    <w:p>
      <w:pPr>
        <w:spacing w:after="120"/>
      </w:pPr>
      <w:r>
        <w:rPr>
          <w:sz w:val="18"/>
          <w:szCs w:val="18"/>
        </w:rPr>
        <w:t xml:space="preserve"> </w:t>
      </w:r>
    </w:p>
    <w:p>
      <w:pPr>
        <w:spacing w:after="120"/>
      </w:pPr>
      <w:r>
        <w:rPr>
          <w:i/>
          <w:iCs/>
          <w:color w:val="666666"/>
          <w:sz w:val="20"/>
          <w:szCs w:val="20"/>
        </w:rPr>
        <w:t xml:space="preserve">Note: All bullets above were derived from prior chats in this project. Review the cited chat for the original framing, examples, and any qualifications before lifting language directly into the methods chapter.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5FDADDF593E5479F0635765CD2CD36" ma:contentTypeVersion="13" ma:contentTypeDescription="Create a new document." ma:contentTypeScope="" ma:versionID="cf2d35569af686cfb010e66dff88d99b">
  <xsd:schema xmlns:xsd="http://www.w3.org/2001/XMLSchema" xmlns:xs="http://www.w3.org/2001/XMLSchema" xmlns:p="http://schemas.microsoft.com/office/2006/metadata/properties" xmlns:ns2="0f0ea895-4e7c-480c-944c-553d0fe5895e" xmlns:ns3="689e4b32-2ee1-4345-8aac-f9cb5a037ce8" targetNamespace="http://schemas.microsoft.com/office/2006/metadata/properties" ma:root="true" ma:fieldsID="4efc6662c3e9dec0e4a97eed6fe47fac" ns2:_="" ns3:_="">
    <xsd:import namespace="0f0ea895-4e7c-480c-944c-553d0fe5895e"/>
    <xsd:import namespace="689e4b32-2ee1-4345-8aac-f9cb5a037c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ea895-4e7c-480c-944c-553d0fe58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24395b6-a53c-4621-9178-630870baff9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9e4b32-2ee1-4345-8aac-f9cb5a037ce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c87c908-2ffb-49fa-a996-94fb332af8ed}" ma:internalName="TaxCatchAll" ma:showField="CatchAllData" ma:web="689e4b32-2ee1-4345-8aac-f9cb5a037c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89e4b32-2ee1-4345-8aac-f9cb5a037ce8" xsi:nil="true"/>
    <lcf76f155ced4ddcb4097134ff3c332f xmlns="0f0ea895-4e7c-480c-944c-553d0fe58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05FE01-F587-47FE-BA21-B4762408D486}"/>
</file>

<file path=customXml/itemProps2.xml><?xml version="1.0" encoding="utf-8"?>
<ds:datastoreItem xmlns:ds="http://schemas.openxmlformats.org/officeDocument/2006/customXml" ds:itemID="{154C5DE4-A5FB-49C5-AB8E-2AF4CB5FA52A}"/>
</file>

<file path=customXml/itemProps3.xml><?xml version="1.0" encoding="utf-8"?>
<ds:datastoreItem xmlns:ds="http://schemas.openxmlformats.org/officeDocument/2006/customXml" ds:itemID="{14952E9E-CD7D-4F41-B480-2CDB3D252C4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2026-04-24T15:33:29Z</dcterms:created>
  <dcterms:modified xsi:type="dcterms:W3CDTF">2026-04-24T15:33:29Z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0x010100665FDADDF593E5479F0635765CD2CD36</vt:lpwstr>
  </property>
</Properties>
</file>