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36"/>
          <w:szCs w:val="36"/>
        </w:rPr>
        <w:t xml:space="preserve">SLR Methodology Update</w:t>
      </w:r>
    </w:p>
    <w:p>
      <w:pPr>
        <w:spacing w:after="60" w:before="0"/>
        <w:jc w:val="center"/>
      </w:pPr>
      <w:r>
        <w:rPr>
          <w:sz w:val="24"/>
          <w:szCs w:val="24"/>
        </w:rPr>
        <w:t xml:space="preserve">Vibe Coding Governance Systematic Literature Review</w:t>
      </w:r>
    </w:p>
    <w:p>
      <w:pPr>
        <w:spacing w:after="240" w:before="0"/>
        <w:jc w:val="center"/>
      </w:pPr>
      <w:r>
        <w:rPr>
          <w:i/>
          <w:iCs/>
          <w:sz w:val="20"/>
          <w:szCs w:val="20"/>
        </w:rPr>
        <w:t xml:space="preserve">Update covering Pass 2 screening, verification methodology, and pipeline hardening — June 2026</w:t>
      </w:r>
    </w:p>
    <w:p>
      <w:pPr>
        <w:pStyle w:val="Heading1"/>
      </w:pPr>
      <w:r>
        <w:t xml:space="preserve">1. Summary of Updates Since Last Methodology Document</w:t>
      </w:r>
    </w:p>
    <w:p>
      <w:pPr>
        <w:spacing w:after="80" w:before="80"/>
      </w:pPr>
      <w:r>
        <w:t xml:space="preserve">Since the last methodology compilation, several substantive additions and refinements have been incorporated. They are documented in detail in subsequent sections; the headlines are:</w:t>
      </w:r>
    </w:p>
    <w:p>
      <w:pPr>
        <w:pStyle w:val="ListParagraph"/>
        <w:numPr>
          <w:ilvl w:val="0"/>
          <w:numId w:val="2"/>
        </w:numPr>
        <w:spacing w:after="40" w:before="40"/>
      </w:pPr>
      <w:r>
        <w:t xml:space="preserve">Pass 2 (Operationalizability-Tightening) Screening completed across all sources (peer-reviewed databases, preprints, and curated grey literature streams), yielding 973 Keep, 73 Maybe, and 2,908 Discard from a 3,954-item Pass-2 candidate pool.</w:t>
      </w:r>
    </w:p>
    <w:p>
      <w:pPr>
        <w:pStyle w:val="ListParagraph"/>
        <w:numPr>
          <w:ilvl w:val="0"/>
          <w:numId w:val="2"/>
        </w:numPr>
        <w:spacing w:after="40" w:before="40"/>
      </w:pPr>
      <w:r>
        <w:t xml:space="preserve">A two-sample verification methodology was developed and applied: a stratified Trust Check sample (gating, unblinded) and a Methodology Validation sample (random, blinded, intended for Cohen’s κ reporting in the methods chapter).</w:t>
      </w:r>
    </w:p>
    <w:p>
      <w:pPr>
        <w:pStyle w:val="ListParagraph"/>
        <w:numPr>
          <w:ilvl w:val="0"/>
          <w:numId w:val="2"/>
        </w:numPr>
        <w:spacing w:after="40" w:before="40"/>
      </w:pPr>
      <w:r>
        <w:t xml:space="preserve">Trust Check results (60-item sample, 20 per Pass 2 decision category) yielded 86.2% agreement (50/58 coded) with Cohen’s κ = 0.79, supporting a decision to apply Pass 2 decisions to Zotero.</w:t>
      </w:r>
    </w:p>
    <w:p>
      <w:pPr>
        <w:pStyle w:val="ListParagraph"/>
        <w:numPr>
          <w:ilvl w:val="0"/>
          <w:numId w:val="2"/>
        </w:numPr>
        <w:spacing w:after="40" w:before="40"/>
      </w:pPr>
      <w:r>
        <w:t xml:space="preserve">Human Review of 39 items that the AI pipeline escalated (Opus low-confidence or Sonnet/Opus conflict) was completed at 100% coverage. Reviewer committed on 27/39 (69%) and routed 12/39 (31%) to 02-Maybe.</w:t>
      </w:r>
    </w:p>
    <w:p>
      <w:pPr>
        <w:pStyle w:val="ListParagraph"/>
        <w:numPr>
          <w:ilvl w:val="0"/>
          <w:numId w:val="2"/>
        </w:numPr>
        <w:spacing w:after="40" w:before="40"/>
      </w:pPr>
      <w:r>
        <w:t xml:space="preserve">The Zotero apply mechanism was hardened: the apply script now reconciles stale screener tags (s1:&amp;lt;screener&amp;gt;:*) rather than only adding new ones, making it idempotent and self-correcting if a partial prior run left inconsistent state.</w:t>
      </w:r>
    </w:p>
    <w:p>
      <w:pPr>
        <w:pStyle w:val="ListParagraph"/>
        <w:numPr>
          <w:ilvl w:val="0"/>
          <w:numId w:val="2"/>
        </w:numPr>
        <w:spacing w:after="40" w:before="40"/>
      </w:pPr>
      <w:r>
        <w:t xml:space="preserve">A defensive coding pattern set for LLM-driven batch pipelines was formalized and packaged as a reusable Claude Code skill (slr-pipeline-patterns). A companion project-bootstrap skill (slr-project-init) was also packaged, intended to carry the methodology forward to the planned media-metadata SLR.</w:t>
      </w:r>
    </w:p>
    <w:p>
      <w:pPr>
        <w:pStyle w:val="Heading1"/>
      </w:pPr>
      <w:r>
        <w:t xml:space="preserve">2. Pass 2 Screening: Results and Methods-Chapter Framing</w:t>
      </w:r>
    </w:p>
    <w:p>
      <w:pPr>
        <w:pStyle w:val="Heading2"/>
      </w:pPr>
      <w:r>
        <w:t xml:space="preserve">2.1 Numerical outcome</w:t>
      </w:r>
    </w:p>
    <w:p>
      <w:pPr>
        <w:spacing w:after="80" w:before="80"/>
      </w:pPr>
      <w:r>
        <w:t xml:space="preserve">Pass 2 took the 4,061 Pass-1 Keep + Maybe items as input. After processing, the resulting decision distribution was:</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1620"/>
        <w:gridCol w:w="2700"/>
      </w:tblGrid>
      <w:tr>
        <w:tc>
          <w:tcPr>
            <w:tcW w:type="dxa" w:w="2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Decision</w:t>
            </w:r>
          </w:p>
        </w:tc>
        <w:tc>
          <w:tcPr>
            <w:tcW w:type="dxa" w:w="16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Count</w:t>
            </w:r>
          </w:p>
        </w:tc>
        <w:tc>
          <w:tcPr>
            <w:tcW w:type="dxa" w:w="2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Notes</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Keep</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973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Items advancing to full-text review</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Maybe</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Items routed to 02-Maybe for closer review</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Discard</w:t>
            </w:r>
          </w:p>
        </w:tc>
        <w:tc>
          <w:tcPr>
            <w:tcW w:type="dxa" w:w="1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2,908</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Items excluded at Pass 2</w:t>
            </w:r>
          </w:p>
        </w:tc>
      </w:tr>
      <w:tr>
        <w:tc>
          <w:tcPr>
            <w:tcW w:type="dxa" w:w="2160"/>
            <w:tcBorders>
              <w:top w:val="single" w:color="BFBFBF" w:sz="4"/>
              <w:left w:val="single" w:color="BFBFBF" w:sz="4"/>
              <w:bottom w:val="single" w:color="BFBFBF" w:sz="4"/>
              <w:right w:val="single" w:color="BFBFBF" w:sz="4"/>
            </w:tcBorders>
            <w:shd w:fill="F4F4F4" w:val="clear"/>
            <w:tcMar>
              <w:top w:type="dxa" w:w="80"/>
              <w:left w:type="dxa" w:w="120"/>
              <w:bottom w:type="dxa" w:w="80"/>
              <w:right w:type="dxa" w:w="120"/>
            </w:tcMar>
          </w:tcPr>
          <w:p>
            <w:r>
              <w:rPr>
                <w:b/>
                <w:bCs/>
              </w:rPr>
              <w:t xml:space="preserve">Total</w:t>
            </w:r>
          </w:p>
        </w:tc>
        <w:tc>
          <w:tcPr>
            <w:tcW w:type="dxa" w:w="1620"/>
            <w:tcBorders>
              <w:top w:val="single" w:color="BFBFBF" w:sz="4"/>
              <w:left w:val="single" w:color="BFBFBF" w:sz="4"/>
              <w:bottom w:val="single" w:color="BFBFBF" w:sz="4"/>
              <w:right w:val="single" w:color="BFBFBF" w:sz="4"/>
            </w:tcBorders>
            <w:shd w:fill="F4F4F4" w:val="clear"/>
            <w:tcMar>
              <w:top w:type="dxa" w:w="80"/>
              <w:left w:type="dxa" w:w="120"/>
              <w:bottom w:type="dxa" w:w="80"/>
              <w:right w:type="dxa" w:w="120"/>
            </w:tcMar>
          </w:tcPr>
          <w:p>
            <w:r>
              <w:rPr>
                <w:b/>
                <w:bCs/>
              </w:rPr>
              <w:t xml:space="preserve">3,954</w:t>
            </w:r>
          </w:p>
        </w:tc>
        <w:tc>
          <w:tcPr>
            <w:tcW w:type="dxa" w:w="2700"/>
            <w:tcBorders>
              <w:top w:val="single" w:color="BFBFBF" w:sz="4"/>
              <w:left w:val="single" w:color="BFBFBF" w:sz="4"/>
              <w:bottom w:val="single" w:color="BFBFBF" w:sz="4"/>
              <w:right w:val="single" w:color="BFBFBF" w:sz="4"/>
            </w:tcBorders>
            <w:shd w:fill="F4F4F4" w:val="clear"/>
            <w:tcMar>
              <w:top w:type="dxa" w:w="80"/>
              <w:left w:type="dxa" w:w="120"/>
              <w:bottom w:type="dxa" w:w="80"/>
              <w:right w:type="dxa" w:w="120"/>
            </w:tcMar>
          </w:tcPr>
          <w:p>
            <w:r>
              <w:t xml:space="preserve"/>
            </w:r>
          </w:p>
        </w:tc>
      </w:tr>
    </w:tbl>
    <w:p>
      <w:pPr>
        <w:pStyle w:val="Heading2"/>
      </w:pPr>
      <w:r>
        <w:t xml:space="preserve">2.2 Why the 73% Pass-2 discard rate is methodologically expected</w:t>
      </w:r>
    </w:p>
    <w:p>
      <w:pPr>
        <w:spacing w:after="80" w:before="80"/>
      </w:pPr>
      <w:r>
        <w:t xml:space="preserve">Pass 2 rejected 73% of items that had passed Pass 1. This rate looks alarming at first but reflects deliberate methodological design rather than corpus collapse:</w:t>
      </w:r>
    </w:p>
    <w:p>
      <w:pPr>
        <w:pStyle w:val="ListParagraph"/>
        <w:numPr>
          <w:ilvl w:val="0"/>
          <w:numId w:val="2"/>
        </w:numPr>
        <w:spacing w:after="40" w:before="40"/>
      </w:pPr>
      <w:r>
        <w:t xml:space="preserve">Pass 1 was deliberately recall-favoring — broad Boolean queries with synonym clusters, default-to-keep on borderline items, maybe = thin abstract only.</w:t>
      </w:r>
    </w:p>
    <w:p>
      <w:pPr>
        <w:pStyle w:val="ListParagraph"/>
        <w:numPr>
          <w:ilvl w:val="0"/>
          <w:numId w:val="2"/>
        </w:numPr>
        <w:spacing w:after="40" w:before="40"/>
      </w:pPr>
      <w:r>
        <w:t xml:space="preserve">Pass 2 applies the operationalizability test: “Does this paper give a software engineering organization something they can act on — a measurement, metric, mechanism, detection signal, framework, or process?” This is a tighter, more selective filter by design.</w:t>
      </w:r>
    </w:p>
    <w:p>
      <w:pPr>
        <w:pStyle w:val="ListParagraph"/>
        <w:numPr>
          <w:ilvl w:val="0"/>
          <w:numId w:val="2"/>
        </w:numPr>
        <w:spacing w:after="40" w:before="40"/>
      </w:pPr>
      <w:r>
        <w:t xml:space="preserve">The 2,908 discards at Pass 2 are items that match by keyword but fail on operationalizability — e.g., descriptive-only risk papers, AI governance in non-software domains, productivity studies without an oversight angle.</w:t>
      </w:r>
    </w:p>
    <w:p>
      <w:pPr>
        <w:spacing w:after="80" w:before="80"/>
      </w:pPr>
      <w:r>
        <w:t xml:space="preserve">Recommended methods-chapter framing to pre-empt misreading:</w:t>
      </w:r>
    </w:p>
    <w:p>
      <w:pPr>
        <w:spacing w:after="100" w:before="100"/>
        <w:ind w:left="720" w:right="720"/>
      </w:pPr>
      <w:r>
        <w:rPr>
          <w:i/>
          <w:iCs/>
        </w:rPr>
        <w:t xml:space="preserve">Pass 1 (title/abstract screening, recall-favoring) reduced the deduplicated corpus to 4,061 candidates (Keep + Maybe). Pass 2 (operationalizability filter on titles/abstracts) further reduced this to 973 Keep, 73 Maybe, and 2,908 Discard, yielding 1,046 items advancing to full-text screening.</w:t>
      </w:r>
    </w:p>
    <w:p>
      <w:pPr>
        <w:spacing w:after="80" w:before="80"/>
      </w:pPr>
      <w:r>
        <w:t xml:space="preserve">This framing presents the 73% rejection as deliberate methodological tightening (which it is) rather than corpus collapse (which it is not).</w:t>
      </w:r>
    </w:p>
    <w:p>
      <w:pPr>
        <w:pStyle w:val="Heading1"/>
      </w:pPr>
      <w:r>
        <w:t xml:space="preserve">3. Verification Sampling Methodology</w:t>
      </w:r>
    </w:p>
    <w:p>
      <w:pPr>
        <w:spacing w:after="80" w:before="80"/>
      </w:pPr>
      <w:r>
        <w:t xml:space="preserve">A two-sample verification methodology was developed to serve two distinct purposes that should not be conflated: (a) gating the apply-to-Zotero step, and (b) producing a defensible inter-rater reliability artifact for the methods chapter.</w:t>
      </w:r>
    </w:p>
    <w:p>
      <w:pPr>
        <w:pStyle w:val="Heading2"/>
      </w:pPr>
      <w:r>
        <w:t xml:space="preserve">3.1 Sample 1: Trust Check (gating, unblinded)</w:t>
      </w:r>
    </w:p>
    <w:p>
      <w:pPr>
        <w:spacing w:after="80" w:before="80"/>
      </w:pPr>
      <w:r>
        <w:t xml:space="preserve">Purpose: pre-flight quality check answering “can I trust the screening enough to apply 3,954 decisions to Zotero?” The trust check is debugging, not measurement.</w:t>
      </w:r>
    </w:p>
    <w:p>
      <w:pPr>
        <w:pStyle w:val="ListParagraph"/>
        <w:numPr>
          <w:ilvl w:val="0"/>
          <w:numId w:val="2"/>
        </w:numPr>
        <w:spacing w:after="40" w:before="40"/>
      </w:pPr>
      <w:r>
        <w:t xml:space="preserve">Design: stratified by Pass 2 decision (20 keep, 20 discard, 20 maybe).</w:t>
      </w:r>
    </w:p>
    <w:p>
      <w:pPr>
        <w:pStyle w:val="ListParagraph"/>
        <w:numPr>
          <w:ilvl w:val="0"/>
          <w:numId w:val="2"/>
        </w:numPr>
        <w:spacing w:after="40" w:before="40"/>
      </w:pPr>
      <w:r>
        <w:t xml:space="preserve">Reading mode: unblinded — AI decision, confidence, rationale, title, and abstract reviewed together.</w:t>
      </w:r>
    </w:p>
    <w:p>
      <w:pPr>
        <w:pStyle w:val="ListParagraph"/>
        <w:numPr>
          <w:ilvl w:val="0"/>
          <w:numId w:val="2"/>
        </w:numPr>
        <w:spacing w:after="40" w:before="40"/>
      </w:pPr>
      <w:r>
        <w:t xml:space="preserve">Output: qualitative gut-check note; gating decision via a quantitative threshold rule.</w:t>
      </w:r>
    </w:p>
    <w:p>
      <w:pPr>
        <w:spacing w:after="80" w:before="80"/>
      </w:pPr>
      <w:r>
        <w:t xml:space="preserve">Decision rule (per 60-item sample):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Disagreement rate</w:t>
            </w:r>
          </w:p>
        </w:tc>
        <w:tc>
          <w:tcPr>
            <w:tcW w:type="dxa" w:w="5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Action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Apply. Screening is trustworthy.</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5–15%</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Apply, but document the disagreement pattern in the methods chapter and flag affected item types for closer review at extraction.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15–30%</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Stop. Investigate disagreement patterns. Adjust rubric and re-screen affected categories.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≥30%</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 not apply. Screening is unreliable. Revisit Pass 2 design before re-running.</w:t>
            </w:r>
          </w:p>
        </w:tc>
      </w:tr>
    </w:tbl>
    <w:p>
      <w:pPr>
        <w:pStyle w:val="Heading2"/>
      </w:pPr>
      <w:r>
        <w:t xml:space="preserve">3.2 Sample 2: Methodology Validation (blinded)</w:t>
      </w:r>
    </w:p>
    <w:p>
      <w:pPr>
        <w:spacing w:after="80" w:before="80"/>
      </w:pPr>
      <w:r>
        <w:t xml:space="preserve">Purpose: inter-rater reliability artifact answering “what is the accuracy of this screening method?” defensibly enough to publish.</w:t>
      </w:r>
    </w:p>
    <w:p>
      <w:pPr>
        <w:pStyle w:val="ListParagraph"/>
        <w:numPr>
          <w:ilvl w:val="0"/>
          <w:numId w:val="2"/>
        </w:numPr>
        <w:spacing w:after="40" w:before="40"/>
      </w:pPr>
      <w:r>
        <w:t xml:space="preserve">Design: pure random N = 100, no stratification. Population-representative — mirrors the natural decision distribution.</w:t>
      </w:r>
    </w:p>
    <w:p>
      <w:pPr>
        <w:pStyle w:val="ListParagraph"/>
        <w:numPr>
          <w:ilvl w:val="0"/>
          <w:numId w:val="2"/>
        </w:numPr>
        <w:spacing w:after="40" w:before="40"/>
      </w:pPr>
      <w:r>
        <w:t xml:space="preserve">Reading mode: blinded. Reviewer sees only item_key, title, and abstract; AI decisions are withheld in a separate key file until independent coding is complete.</w:t>
      </w:r>
    </w:p>
    <w:p>
      <w:pPr>
        <w:pStyle w:val="ListParagraph"/>
        <w:numPr>
          <w:ilvl w:val="0"/>
          <w:numId w:val="2"/>
        </w:numPr>
        <w:spacing w:after="40" w:before="40"/>
      </w:pPr>
      <w:r>
        <w:t xml:space="preserve">Output: Cohen’s κ, per-category agreement, confusion matrix, confidence-stratified agreement, error analysis on disagreements.</w:t>
      </w:r>
    </w:p>
    <w:p>
      <w:pPr>
        <w:spacing w:after="80" w:before="80"/>
      </w:pPr>
      <w:r>
        <w:t xml:space="preserve">Blinding is the methodological core. Unblinded review constitutes a confirmation-bias measurement rather than an independent verification. The two-file design (validation_blind.csv and validation_key.csv) operationalizes the blinding without depending on reviewer discipline alone.</w:t>
      </w:r>
    </w:p>
    <w:p>
      <w:pPr>
        <w:pStyle w:val="Heading2"/>
      </w:pPr>
      <w:r>
        <w:t xml:space="preserve">3.3 Why two samples and not one</w:t>
      </w:r>
    </w:p>
    <w:p>
      <w:pPr>
        <w:spacing w:after="80" w:before="80"/>
      </w:pPr>
      <w:r>
        <w:t xml:space="preserve">The two samples are designed to be incompatible by intent:</w:t>
      </w:r>
    </w:p>
    <w:p>
      <w:pPr>
        <w:pStyle w:val="ListParagraph"/>
        <w:numPr>
          <w:ilvl w:val="0"/>
          <w:numId w:val="2"/>
        </w:numPr>
        <w:spacing w:after="40" w:before="40"/>
      </w:pPr>
      <w:r>
        <w:t xml:space="preserve">The trust check’s stratified design over-represents Maybes and under-represents Discards relative to the population, so κ calculated from it would be biased toward the wrong base rate.</w:t>
      </w:r>
    </w:p>
    <w:p>
      <w:pPr>
        <w:pStyle w:val="ListParagraph"/>
        <w:numPr>
          <w:ilvl w:val="0"/>
          <w:numId w:val="2"/>
        </w:numPr>
        <w:spacing w:after="40" w:before="40"/>
      </w:pPr>
      <w:r>
        <w:t xml:space="preserve">The validation’s blinding hides the AI’s reasoning, which is exactly what the trust check needs to see in order to debug.</w:t>
      </w:r>
    </w:p>
    <w:p>
      <w:pPr>
        <w:pStyle w:val="ListParagraph"/>
        <w:numPr>
          <w:ilvl w:val="0"/>
          <w:numId w:val="2"/>
        </w:numPr>
        <w:spacing w:after="40" w:before="40"/>
      </w:pPr>
      <w:r>
        <w:t xml:space="preserve">The trust check is meant for fast debugging (tens of minutes); the validation is meant for defensible measurement (a couple of hours over multiple sittings).</w:t>
      </w:r>
    </w:p>
    <w:p>
      <w:pPr>
        <w:pStyle w:val="Heading1"/>
      </w:pPr>
      <w:r>
        <w:t xml:space="preserve">4. Trust Check Results (Pass 2 → Apply Gate)</w:t>
      </w:r>
    </w:p>
    <w:p>
      <w:pPr>
        <w:spacing w:after="80" w:before="80"/>
      </w:pPr>
      <w:r>
        <w:t xml:space="preserve">The Trust Check sample was generated on June 3, 2026 from apply_all.csv via generate_verification_samples.py with seed=42 and --trust-per-stratum 20. Reviewer coded 58 of 60 items.</w:t>
      </w:r>
    </w:p>
    <w:p>
      <w:pPr>
        <w:pStyle w:val="Heading2"/>
      </w:pPr>
      <w:r>
        <w:t xml:space="preserve">4.1 Aggregate results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Metric</w:t>
            </w:r>
          </w:p>
        </w:tc>
        <w:tc>
          <w:tcPr>
            <w:tcW w:type="dxa" w:w="3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Value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Items coded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58 of 60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Observed agreement (Po)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50/58 = 86.2%</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Cohen’s κ</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0.79 (substantial; Landis &amp; Koch 1977)</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Discards: per-category agreement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20/20 = 100%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Keeps: per-category agreement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17/20 = 85%</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Maybes: per-category agreement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13/18 = 72%</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Disagreement rate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8/58 = 13.8%</w:t>
            </w:r>
          </w:p>
        </w:tc>
      </w:tr>
    </w:tbl>
    <w:p>
      <w:pPr>
        <w:pStyle w:val="Heading2"/>
      </w:pPr>
      <w:r>
        <w:t xml:space="preserve">4.2 Interpretation</w:t>
      </w:r>
    </w:p>
    <w:p>
      <w:pPr>
        <w:spacing w:after="80" w:before="80"/>
      </w:pPr>
      <w:r>
        <w:t xml:space="preserve">The disagreement rate (13.8%) falls in the 5–15% band of the decision rule — apply, with documentation. Three findings supported the apply decision:</w:t>
      </w:r>
    </w:p>
    <w:p>
      <w:pPr>
        <w:pStyle w:val="ListParagraph"/>
        <w:numPr>
          <w:ilvl w:val="0"/>
          <w:numId w:val="2"/>
        </w:numPr>
        <w:spacing w:after="40" w:before="40"/>
      </w:pPr>
      <w:r>
        <w:t xml:space="preserve">No false negatives in discards. All 20 sampled discards were re-confirmed as discards. False negatives in SLR are unrecoverable; the AI made zero such errors in this sample.</w:t>
      </w:r>
    </w:p>
    <w:p>
      <w:pPr>
        <w:pStyle w:val="ListParagraph"/>
        <w:numPr>
          <w:ilvl w:val="0"/>
          <w:numId w:val="2"/>
        </w:numPr>
        <w:spacing w:after="40" w:before="40"/>
      </w:pPr>
      <w:r>
        <w:t xml:space="preserve">Disagreements concentrated in the Maybe category. Five of eight disagreements involved a Maybe call from either side. Because Maybes are routed to 02-Maybe for closer review regardless, these disagreements do not affect the final corpus boundary.</w:t>
      </w:r>
    </w:p>
    <w:p>
      <w:pPr>
        <w:pStyle w:val="ListParagraph"/>
        <w:numPr>
          <w:ilvl w:val="0"/>
          <w:numId w:val="2"/>
        </w:numPr>
        <w:spacing w:after="40" w:before="40"/>
      </w:pPr>
      <w:r>
        <w:t xml:space="preserve">Pattern of disagreements is non-systematic. Five Maybe vs human-other-call cases (mixed directions) and three Keep vs human-other-call cases (one each direction). No category of paper appears systematically misclassified.</w:t>
      </w:r>
    </w:p>
    <w:p>
      <w:pPr>
        <w:pStyle w:val="Heading2"/>
      </w:pPr>
      <w:r>
        <w:t xml:space="preserve">4.3 Methods-chapter language (drop-in)</w:t>
      </w:r>
    </w:p>
    <w:p>
      <w:pPr>
        <w:spacing w:after="100" w:before="100"/>
        <w:ind w:left="720" w:right="720"/>
      </w:pPr>
      <w:r>
        <w:rPr>
          <w:i/>
          <w:iCs/>
        </w:rPr>
        <w:t xml:space="preserve">Pass 2 screening decisions were validated via a stratified trust sample of 60 items (20 per Pass 2 decision category) drawn from the 3,954-item Pass-2 corpus using seed=42. The author independently re-coded each item against title and abstract; reviewing rationales together with abstracts (i.e., unblinded coding) to identify decision–rationale mismatches. Observed agreement was 50/58 = 86.2% with Cohen’s κ = 0.79 (substantial agreement by Landis &amp; Koch 1977 thresholds). Per-category agreement was 100% for discards, 85% for keeps, and 72% for maybes. The concentration of disagreements in the Maybe category is consistent with the design intent of that category (genuine ambiguity, planned for downstream resolution); the absence of any disagreement on discards indicates negligible false-negative risk in items excluded from the corpus. Pass 2 decisions were applied to the reference manager on the basis of this verification.</w:t>
      </w:r>
    </w:p>
    <w:p>
      <w:pPr>
        <w:pStyle w:val="Heading1"/>
      </w:pPr>
      <w:r>
        <w:t xml:space="preserve">5. Human Review of Escalated Items</w:t>
      </w:r>
    </w:p>
    <w:p>
      <w:pPr>
        <w:spacing w:after="80" w:before="80"/>
      </w:pPr>
      <w:r>
        <w:t xml:space="preserve">39 items reached human review through two escalation paths: Opus returned a low-confidence decision (38 items) or Sonnet and Opus produced conflicting decisions (1 item). All 39 were reviewed by the author at 100% coverage against title and abstract; the AI rationales were available but not consulted during initial coding.</w:t>
      </w:r>
    </w:p>
    <w:p>
      <w:pPr>
        <w:pStyle w:val="Heading2"/>
      </w:pPr>
      <w:r>
        <w:t xml:space="preserve">5.1 Distribution and agreement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Reviewer decision</w:t>
            </w:r>
          </w:p>
        </w:tc>
        <w:tc>
          <w:tcPr>
            <w:tcW w:type="dxa" w:w="3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Count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Discard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17 (44%)</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Keep</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 (26%)</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Maybe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12 (31%)</w:t>
            </w:r>
          </w:p>
        </w:tc>
      </w:tr>
    </w:tbl>
    <w:p>
      <w:pPr>
        <w:spacing w:after="80" w:before="80"/>
      </w:pPr>
      <w:r>
        <w:t xml:space="preserve">Agreement statistics against the AI decisions:</w:t>
      </w:r>
    </w:p>
    <w:p>
      <w:pPr>
        <w:pStyle w:val="ListParagraph"/>
        <w:numPr>
          <w:ilvl w:val="0"/>
          <w:numId w:val="2"/>
        </w:numPr>
        <w:spacing w:after="40" w:before="40"/>
      </w:pPr>
      <w:r>
        <w:t xml:space="preserve">Reviewer matched Opus: 9/39 (23%)</w:t>
      </w:r>
    </w:p>
    <w:p>
      <w:pPr>
        <w:pStyle w:val="ListParagraph"/>
        <w:numPr>
          <w:ilvl w:val="0"/>
          <w:numId w:val="2"/>
        </w:numPr>
        <w:spacing w:after="40" w:before="40"/>
      </w:pPr>
      <w:r>
        <w:t xml:space="preserve">Reviewer matched Sonnet: 12/39 (31%)</w:t>
      </w:r>
    </w:p>
    <w:p>
      <w:pPr>
        <w:pStyle w:val="ListParagraph"/>
        <w:numPr>
          <w:ilvl w:val="0"/>
          <w:numId w:val="2"/>
        </w:numPr>
        <w:spacing w:after="40" w:before="40"/>
      </w:pPr>
      <w:r>
        <w:t xml:space="preserve">All three (Sonnet, Opus, reviewer) matched: 0/39 (0%)</w:t>
      </w:r>
    </w:p>
    <w:p>
      <w:pPr>
        <w:pStyle w:val="Heading2"/>
      </w:pPr>
      <w:r>
        <w:t xml:space="preserve">5.2 Interpretation</w:t>
      </w:r>
    </w:p>
    <w:p>
      <w:pPr>
        <w:spacing w:after="80" w:before="80"/>
      </w:pPr>
      <w:r>
        <w:t xml:space="preserve">Low agreement on the human-review pile is methodologically correct: these items were escalated to human review precisely because no AI model committed confidently. High agreement here would indicate the escalation criteria were too conservative (passing items to humans the AIs could have decided). The observed 23–31% rate confirms appropriate escalation calibration.</w:t>
      </w:r>
    </w:p>
    <w:p>
      <w:pPr>
        <w:spacing w:after="80" w:before="80"/>
      </w:pPr>
      <w:r>
        <w:t xml:space="preserve">The 0/39 all-three-match rate is a structural consequence of the design: Sonnet routes Maybes to Opus, which is forced to commit; the two models are designed never to agree on these specific items.</w:t>
      </w:r>
    </w:p>
    <w:p>
      <w:pPr>
        <w:spacing w:after="80" w:before="80"/>
      </w:pPr>
      <w:r>
        <w:t xml:space="preserve">Reviewer committed (Keep or Discard) on 27/39 (69%) and routed 12/39 (31%) to 02-Maybe, indicating roughly two-thirds of escalations were resolvable from title and abstract alone.</w:t>
      </w:r>
    </w:p>
    <w:p>
      <w:pPr>
        <w:pStyle w:val="Heading2"/>
      </w:pPr>
      <w:r>
        <w:t xml:space="preserve">5.3 Methods-chapter language (drop-in)</w:t>
      </w:r>
    </w:p>
    <w:p>
      <w:pPr>
        <w:spacing w:after="100" w:before="100"/>
        <w:ind w:left="720" w:right="720"/>
      </w:pPr>
      <w:r>
        <w:rPr>
          <w:i/>
          <w:iCs/>
        </w:rPr>
        <w:t xml:space="preserve">Items escalated to human review (N=39) included papers where the Opus reviewer returned a low-confidence decision and items where the Sonnet and Opus reviewers conflicted. All 39 were reviewed by the author against title and abstract. The author committed (keep or discard) on 27/39 (69%) and routed 12/39 (31%) to 02-Maybe for closer review at extraction. Agreement with Opus on these escalated items was 23%; with Sonnet, 31%. The low agreement reflects appropriate escalation calibration — these items were escalated precisely because no AI model committed confidently — rather than a screening failure.</w:t>
      </w:r>
    </w:p>
    <w:p>
      <w:pPr>
        <w:pStyle w:val="Heading1"/>
      </w:pPr>
      <w:r>
        <w:t xml:space="preserve">6. Zotero Apply Mechanism: Reconciliation Update</w:t>
      </w:r>
    </w:p>
    <w:p>
      <w:pPr>
        <w:spacing w:after="80" w:before="80"/>
      </w:pPr>
      <w:r>
        <w:t xml:space="preserve">The apply_screening_decisions.py script was patched to perform full reconciliation of screener tags rather than additive-only tagging. The change makes the apply step idempotent and self-correcting in the face of partial prior runs.</w:t>
      </w:r>
    </w:p>
    <w:p>
      <w:pPr>
        <w:pStyle w:val="Heading2"/>
      </w:pPr>
      <w:r>
        <w:t xml:space="preserve">6.1 Behavior change</w:t>
      </w:r>
    </w:p>
    <w:p>
      <w:pPr>
        <w:spacing w:after="80" w:before="80"/>
      </w:pPr>
      <w:r>
        <w:t xml:space="preserve">Previously, the apply script would add s1:&amp;lt;screener&amp;gt;:&amp;lt;decision&amp;gt; tags but never remove stale ones. If a prior partial run had applied s1:claude:keep to an item that the current run records as discard, both tags would remain.</w:t>
      </w:r>
    </w:p>
    <w:p>
      <w:pPr>
        <w:spacing w:after="80" w:before="80"/>
      </w:pPr>
      <w:r>
        <w:t xml:space="preserve">After the patch, for each screener column present in the input CSV, the apply script:</w:t>
      </w:r>
    </w:p>
    <w:p>
      <w:pPr>
        <w:pStyle w:val="ListParagraph"/>
        <w:numPr>
          <w:ilvl w:val="0"/>
          <w:numId w:val="2"/>
        </w:numPr>
        <w:spacing w:after="40" w:before="40"/>
      </w:pPr>
      <w:r>
        <w:t xml:space="preserve">Adds the new s1:&amp;lt;screener&amp;gt;:&amp;lt;decision&amp;gt; tag if absent.</w:t>
      </w:r>
    </w:p>
    <w:p>
      <w:pPr>
        <w:pStyle w:val="ListParagraph"/>
        <w:numPr>
          <w:ilvl w:val="0"/>
          <w:numId w:val="2"/>
        </w:numPr>
        <w:spacing w:after="40" w:before="40"/>
      </w:pPr>
      <w:r>
        <w:t xml:space="preserve">Removes any other s1:&amp;lt;screener&amp;gt;:* tag for the same screener.</w:t>
      </w:r>
    </w:p>
    <w:p>
      <w:pPr>
        <w:pStyle w:val="ListParagraph"/>
        <w:numPr>
          <w:ilvl w:val="0"/>
          <w:numId w:val="2"/>
        </w:numPr>
        <w:spacing w:after="40" w:before="40"/>
      </w:pPr>
      <w:r>
        <w:t xml:space="preserve">Leaves tags for screeners not present in the current CSV row entirely untouched.</w:t>
      </w:r>
    </w:p>
    <w:p>
      <w:pPr>
        <w:spacing w:after="80" w:before="80"/>
      </w:pPr>
      <w:r>
        <w:t xml:space="preserve">Net effect per item per screener column: exactly one s1:&amp;lt;screener&amp;gt;:* tag matching the CSV, regardless of prior state. Collection reconciliation logic was already idempotent and remains unchanged.</w:t>
      </w:r>
    </w:p>
    <w:p>
      <w:pPr>
        <w:pStyle w:val="Heading2"/>
      </w:pPr>
      <w:r>
        <w:t xml:space="preserve">6.2 Operational significance</w:t>
      </w:r>
    </w:p>
    <w:p>
      <w:pPr>
        <w:spacing w:after="80" w:before="80"/>
      </w:pPr>
      <w:r>
        <w:t xml:space="preserve">The reconciliation behavior was specifically motivated by an interrupted apply run in which two concurrent orchestrators applied decisions to the same Zotero library. The reconciling apply could be safely re-run across the full corpus, with previously-correct items treated as no-ops and any stale state corrected.</w:t>
      </w:r>
    </w:p>
    <w:p>
      <w:pPr>
        <w:pStyle w:val="Heading1"/>
      </w:pPr>
      <w:r>
        <w:t xml:space="preserve">7. Pipeline Defensive Patterns</w:t>
      </w:r>
    </w:p>
    <w:p>
      <w:pPr>
        <w:spacing w:after="80" w:before="80"/>
      </w:pPr>
      <w:r>
        <w:t xml:space="preserve">Eight defensive coding patterns were formalized during Pass 2 development and pipeline debugging. They are documented in detail in the slr-pipeline-patterns skill bundle and summarized here because each one prevented or recovered from a real screening-run failure.</w:t>
      </w:r>
    </w:p>
    <w:p>
      <w:pPr>
        <w:spacing w:after="40" w:before="100"/>
      </w:pPr>
      <w:r>
        <w:rPr>
          <w:b/>
          <w:bCs/>
        </w:rPr>
        <w:t xml:space="preserve">Pattern 1: None-guard before string operations</w:t>
      </w:r>
    </w:p>
    <w:p>
      <w:pPr>
        <w:spacing w:after="80" w:before="0"/>
        <w:ind w:left="360"/>
      </w:pPr>
      <w:r>
        <w:t xml:space="preserve">Python’s csv.DictReader can return None for empty cells when the LLM omits an optional field. dict.get(key, default) returns the default only when the key is missing, not when the value is present-but-None. Pattern: use (x or "").lower() rather than x.get(key, "").lower().</w:t>
      </w:r>
    </w:p>
    <w:p>
      <w:pPr>
        <w:spacing w:after="40" w:before="100"/>
      </w:pPr>
      <w:r>
        <w:rPr>
          <w:b/>
          <w:bCs/>
        </w:rPr>
        <w:t xml:space="preserve">Pattern 2: Batch-glob anchoring to zero-pad format</w:t>
      </w:r>
    </w:p>
    <w:p>
      <w:pPr>
        <w:spacing w:after="80" w:before="0"/>
        <w:ind w:left="360"/>
      </w:pPr>
      <w:r>
        <w:t xml:space="preserve">split_batches.py produces files named batch_001.csv (zero-padded to three digits). The orchestrator produces sibling files named batch_001_out.csv. A loose glob like batch_*.csv matches both, treating outputs as inputs on rerun. Pattern: anchor globs to batch_[0-9][0-9][0-9].csv.</w:t>
      </w:r>
    </w:p>
    <w:p>
      <w:pPr>
        <w:spacing w:after="40" w:before="100"/>
      </w:pPr>
      <w:r>
        <w:rPr>
          <w:b/>
          <w:bCs/>
        </w:rPr>
        <w:t xml:space="preserve">Pattern 3: One checkpoint key per batch</w:t>
      </w:r>
    </w:p>
    <w:p>
      <w:pPr>
        <w:spacing w:after="80" w:before="0"/>
        <w:ind w:left="360"/>
      </w:pPr>
      <w:r>
        <w:t xml:space="preserve">Per-phase checkpoint flags ("sonnet_done: true") force all-or-nothing reruns. Per-batch flags ("sonnet_done_batch_037: true") allow only failed batches to re-execute.</w:t>
      </w:r>
    </w:p>
    <w:p>
      <w:pPr>
        <w:spacing w:after="40" w:before="100"/>
      </w:pPr>
      <w:r>
        <w:rPr>
          <w:b/>
          <w:bCs/>
        </w:rPr>
        <w:t xml:space="preserve">Pattern 4: Header-anchored CSV extraction</w:t>
      </w:r>
    </w:p>
    <w:p>
      <w:pPr>
        <w:spacing w:after="80" w:before="0"/>
        <w:ind w:left="360"/>
      </w:pPr>
      <w:r>
        <w:t xml:space="preserve">LLMs wrap their CSV output in preamble, markdown code fences, or trailing explanation. Naive csv.DictReader on raw output mangles or drops rows. Pattern: find the header line, take from there, stop at first blank line OR closing fence.</w:t>
      </w:r>
    </w:p>
    <w:p>
      <w:pPr>
        <w:spacing w:after="40" w:before="100"/>
      </w:pPr>
      <w:r>
        <w:rPr>
          <w:b/>
          <w:bCs/>
        </w:rPr>
        <w:t xml:space="preserve">Pattern 5: Row-count validation per batch with proper CSV parsing</w:t>
      </w:r>
    </w:p>
    <w:p>
      <w:pPr>
        <w:spacing w:after="80" w:before="0"/>
        <w:ind w:left="360"/>
      </w:pPr>
      <w:r>
        <w:t xml:space="preserve">wc -l counts newlines including those embedded in quoted CSV fields. Use csv.DictReader length, not wc -l, for row counts. The Pass 2 run produced 27 false-positive "row count mismatch" warnings from wc -l; CSV-aware validation showed zero real drops.</w:t>
      </w:r>
    </w:p>
    <w:p>
      <w:pPr>
        <w:spacing w:after="40" w:before="100"/>
      </w:pPr>
      <w:r>
        <w:rPr>
          <w:b/>
          <w:bCs/>
        </w:rPr>
        <w:t xml:space="preserve">Pattern 6: Rate-limit-friendly batch loop with explicit exit-code check</w:t>
      </w:r>
    </w:p>
    <w:p>
      <w:pPr>
        <w:spacing w:after="80" w:before="0"/>
        <w:ind w:left="360"/>
      </w:pPr>
      <w:r>
        <w:t xml:space="preserve">Sleep between batches whether or not they succeeded; check the LLM CLI exit code and skip the checkpoint set on failure so the batch retries on rerun.</w:t>
      </w:r>
    </w:p>
    <w:p>
      <w:pPr>
        <w:spacing w:after="40" w:before="100"/>
      </w:pPr>
      <w:r>
        <w:rPr>
          <w:b/>
          <w:bCs/>
        </w:rPr>
        <w:t xml:space="preserve">Pattern 7: Item-key hallucination validation</w:t>
      </w:r>
    </w:p>
    <w:p>
      <w:pPr>
        <w:spacing w:after="80" w:before="0"/>
        <w:ind w:left="360"/>
      </w:pPr>
      <w:r>
        <w:t xml:space="preserve">LLMs occasionally hallucinate item_key values. Gemini Flash hallucinated keys in 7 of 12 batches on non-SSRN validation (57% rate; 341 of 600 decisions unusable). Pattern: validate every returned item_key against the input set; treat models with &gt;5% hallucination rate as unreliable.</w:t>
      </w:r>
    </w:p>
    <w:p>
      <w:pPr>
        <w:spacing w:after="40" w:before="100"/>
      </w:pPr>
      <w:r>
        <w:rPr>
          <w:b/>
          <w:bCs/>
        </w:rPr>
        <w:t xml:space="preserve">Pattern 8: _out cleanup verification before phase rerun</w:t>
      </w:r>
    </w:p>
    <w:p>
      <w:pPr>
        <w:spacing w:after="80" w:before="0"/>
        <w:ind w:left="360"/>
      </w:pPr>
      <w:r>
        <w:t xml:space="preserve">Stale _out files from prior crashes will be picked up by consolidation steps even after the input-glob fix is in place. Pattern: verify per-batch _out files match expected count and have valid headers before consolidation re-executes.</w:t>
      </w:r>
    </w:p>
    <w:p>
      <w:pPr>
        <w:pStyle w:val="Heading1"/>
      </w:pPr>
      <w:r>
        <w:t xml:space="preserve">8. Recovery: batch_009 Item Recovery</w:t>
      </w:r>
    </w:p>
    <w:p>
      <w:pPr>
        <w:spacing w:after="80" w:before="80"/>
      </w:pPr>
      <w:r>
        <w:t xml:space="preserve">Pass 2 Opus screening dropped two items from batch_009 (item keys 27D36V3E and IMLDX22L) due to an LLM truncation in the response. The drop was detected by post-hoc CSV-aware validation (see Pattern 5 and Pattern 7 above) after the orchestrator’s wc -l-based check had passed.</w:t>
      </w:r>
    </w:p>
    <w:p>
      <w:pPr>
        <w:spacing w:after="80" w:before="80"/>
      </w:pPr>
      <w:r>
        <w:t xml:space="preserve">Recovery procedure (preserved for the methods chapter as documentation of the per-batch checkpoint design’s practical value):</w:t>
      </w:r>
    </w:p>
    <w:p>
      <w:pPr>
        <w:pStyle w:val="ListParagraph"/>
        <w:numPr>
          <w:ilvl w:val="0"/>
          <w:numId w:val="2"/>
        </w:numPr>
        <w:spacing w:after="40" w:before="40"/>
      </w:pPr>
      <w:r>
        <w:t xml:space="preserve">Cleared the per-batch checkpoint flag opus_done_batch_009 in checkpoint.json.</w:t>
      </w:r>
    </w:p>
    <w:p>
      <w:pPr>
        <w:pStyle w:val="ListParagraph"/>
        <w:numPr>
          <w:ilvl w:val="0"/>
          <w:numId w:val="2"/>
        </w:numPr>
        <w:spacing w:after="40" w:before="40"/>
      </w:pPr>
      <w:r>
        <w:t xml:space="preserve">Cleared downstream consolidation, route, and apply flags so they would re-execute.</w:t>
      </w:r>
    </w:p>
    <w:p>
      <w:pPr>
        <w:pStyle w:val="ListParagraph"/>
        <w:numPr>
          <w:ilvl w:val="0"/>
          <w:numId w:val="2"/>
        </w:numPr>
        <w:spacing w:after="40" w:before="40"/>
      </w:pPr>
      <w:r>
        <w:t xml:space="preserve">Removed the partial batch_009_out.csv (preserved as .partial for forensics).</w:t>
      </w:r>
    </w:p>
    <w:p>
      <w:pPr>
        <w:pStyle w:val="ListParagraph"/>
        <w:numPr>
          <w:ilvl w:val="0"/>
          <w:numId w:val="2"/>
        </w:numPr>
        <w:spacing w:after="40" w:before="40"/>
      </w:pPr>
      <w:r>
        <w:t xml:space="preserve">Re-launched the orchestrator. Only batch_009 hit the LLM on the rerun (~60 seconds); steps 1–8 (except 009) and the consolidation/route/apply steps re-executed against the now-complete inputs.</w:t>
      </w:r>
    </w:p>
    <w:p>
      <w:pPr>
        <w:spacing w:after="80" w:before="80"/>
      </w:pPr>
      <w:r>
        <w:t xml:space="preserve">Methodological significance: the per-batch checkpoint design (Pattern 3) and the apply-script idempotency (Section 6) together make targeted recovery practical. Without them, recovering two items would have required either a full re-screen of the corpus or manual ad-hoc surgery to the result CSVs — both methodologically suboptimal.</w:t>
      </w:r>
    </w:p>
    <w:p>
      <w:pPr>
        <w:pStyle w:val="Heading1"/>
      </w:pPr>
      <w:r>
        <w:t xml:space="preserve">9. Tooling Additions</w:t>
      </w:r>
    </w:p>
    <w:p>
      <w:pPr>
        <w:spacing w:after="80" w:before="80"/>
      </w:pPr>
      <w:r>
        <w:t xml:space="preserve">Four new tooling artifacts were created during this update window. All are designed to carry forward to the next SLR project (media-metadata SLR) and have been versioned and packaged.</w:t>
      </w:r>
    </w:p>
    <w:p>
      <w:pPr>
        <w:pStyle w:val="Heading2"/>
      </w:pPr>
      <w:r>
        <w:t xml:space="preserve">9.1 generate_verification_samples.py</w:t>
      </w:r>
    </w:p>
    <w:p>
      <w:pPr>
        <w:spacing w:after="80" w:before="80"/>
      </w:pPr>
      <w:r>
        <w:t xml:space="preserve">Produces the three-file output set (trust_check.csv, validation_blind.csv, validation_key.csv) from any decisions CSV with an item_key column. Operationalizes the two-sample verification methodology described in Section 3.</w:t>
      </w:r>
    </w:p>
    <w:p>
      <w:pPr>
        <w:pStyle w:val="Heading2"/>
      </w:pPr>
      <w:r>
        <w:t xml:space="preserve">9.2 enrich_for_verification.py</w:t>
      </w:r>
    </w:p>
    <w:p>
      <w:pPr>
        <w:spacing w:after="80" w:before="80"/>
      </w:pPr>
      <w:r>
        <w:t xml:space="preserve">Enriches a decisions CSV with title, abstract, year, authors, and item_type fetched from Zotero. Supports stratified, fixed-N-per-stratum, and pure-random sampling modes. Read-only Zotero access; cannot accidentally write.</w:t>
      </w:r>
    </w:p>
    <w:p>
      <w:pPr>
        <w:pStyle w:val="Heading2"/>
      </w:pPr>
      <w:r>
        <w:t xml:space="preserve">9.3 slr-project-init skill</w:t>
      </w:r>
    </w:p>
    <w:p>
      <w:pPr>
        <w:spacing w:after="80" w:before="80"/>
      </w:pPr>
      <w:r>
        <w:t xml:space="preserve">Bootstraps a new SLR project: creates the standard local workspace directory tree, drops in the methodology bootstrap reference and first-day checklist, scaffolds the Zotero collection structure (Database Queries, Other Methods, 00-Dups, 04-Superseded, with per-source 01-Imports and 02-Screening sub-trees), and writes a {path:key} collection map for downstream tooling.</w:t>
      </w:r>
    </w:p>
    <w:p>
      <w:pPr>
        <w:pStyle w:val="Heading2"/>
      </w:pPr>
      <w:r>
        <w:t xml:space="preserve">9.4 slr-pipeline-patterns skill</w:t>
      </w:r>
    </w:p>
    <w:p>
      <w:pPr>
        <w:spacing w:after="80" w:before="80"/>
      </w:pPr>
      <w:r>
        <w:t xml:space="preserve">Packages the eight defensive patterns (Section 7) as a reusable reference, alongside three executable scripts: extract_csv_block.py (header-anchored CSV extraction from raw LLM output), validate_batch_keys.py (per-batch item-key validation with hallucination threshold), and preflight_check.sh (workspace audit before pipeline rerun).</w:t>
      </w:r>
    </w:p>
    <w:p>
      <w:pPr>
        <w:pStyle w:val="Heading1"/>
      </w:pPr>
      <w:r>
        <w:t xml:space="preserve">10. Outstanding Items and Next Steps</w:t>
      </w:r>
    </w:p>
    <w:p>
      <w:pPr>
        <w:spacing w:after="80" w:before="80"/>
      </w:pPr>
      <w:r>
        <w:t xml:space="preserve">The following items are open for the next methodology update window:</w:t>
      </w:r>
    </w:p>
    <w:p>
      <w:pPr>
        <w:pStyle w:val="ListParagraph"/>
        <w:numPr>
          <w:ilvl w:val="0"/>
          <w:numId w:val="2"/>
        </w:numPr>
        <w:spacing w:after="40" w:before="40"/>
      </w:pPr>
      <w:r>
        <w:t xml:space="preserve">Methodology Validation sample (blinded N=100, Cohen’s κ reporting) — designed but not yet executed. To be completed before the SLR conference-paper submission.</w:t>
      </w:r>
    </w:p>
    <w:p>
      <w:pPr>
        <w:pStyle w:val="ListParagraph"/>
        <w:numPr>
          <w:ilvl w:val="0"/>
          <w:numId w:val="2"/>
        </w:numPr>
        <w:spacing w:after="40" w:before="40"/>
      </w:pPr>
      <w:r>
        <w:t xml:space="preserve">Cross-model validation against GPT-4o on the contested subset (Sonnet/Opus disagreement plus Opus-low-confidence items) — deferred pending the blinded validation results, which may reduce the need for a third independent model.</w:t>
      </w:r>
    </w:p>
    <w:p>
      <w:pPr>
        <w:pStyle w:val="ListParagraph"/>
        <w:numPr>
          <w:ilvl w:val="0"/>
          <w:numId w:val="2"/>
        </w:numPr>
        <w:spacing w:after="40" w:before="40"/>
      </w:pPr>
      <w:r>
        <w:t xml:space="preserve">Re-screening of seven AI House panel-derived queries (Q-IEX-23/24, Q-ACM-07/08, Q-SCO-06/07, Q-arXiv-06) under unchanged screening prompts; subsequent targeted spot-check of the Discard pile for prompt-versioning items dropped as wrong-level or wrong-type.</w:t>
      </w:r>
    </w:p>
    <w:p>
      <w:pPr>
        <w:pStyle w:val="ListParagraph"/>
        <w:numPr>
          <w:ilvl w:val="0"/>
          <w:numId w:val="2"/>
        </w:numPr>
        <w:spacing w:after="40" w:before="40"/>
      </w:pPr>
      <w:r>
        <w:t xml:space="preserve">Bug fixes documented but not yet patched: cleanup_superseded_tags.py date tiebreaker, cleanup_queue_membership.py sub-collection walking for SCOPUS theme sub-collections.</w:t>
      </w:r>
    </w:p>
    <w:p>
      <w:pPr>
        <w:pStyle w:val="ListParagraph"/>
        <w:numPr>
          <w:ilvl w:val="0"/>
          <w:numId w:val="2"/>
        </w:numPr>
        <w:spacing w:after="40" w:before="40"/>
      </w:pPr>
      <w:r>
        <w:t xml:space="preserve">Post-meeting RQ restructure (per Thomas, 2026-05-01): governance/policy elevated to a separate top-level research question; sub-RQs broadened and de-leadingified. To be incorporated into the next research-proposal draft.</w:t>
      </w:r>
    </w:p>
    <w:p>
      <w:pPr>
        <w:pStyle w:val="ListParagraph"/>
        <w:numPr>
          <w:ilvl w:val="0"/>
          <w:numId w:val="2"/>
        </w:numPr>
        <w:spacing w:after="40" w:before="40"/>
      </w:pPr>
      <w:r>
        <w:t xml:space="preserve">Application of the same methodology framework to the planned media-metadata SLR — the slr-project-init and slr-pipeline-patterns skills are designed to make this re-application low-cost.</w:t>
      </w:r>
    </w:p>
    <w:p>
      <w:pPr>
        <w:pBdr>
          <w:top w:val="single" w:color="999999" w:sz="6"/>
        </w:pBdr>
        <w:spacing w:after="80" w:before="360"/>
        <w:jc w:val="center"/>
      </w:pPr>
      <w:r>
        <w:rPr>
          <w:i/>
          <w:iCs/>
          <w:color w:val="666666"/>
          <w:sz w:val="18"/>
          <w:szCs w:val="18"/>
        </w:rPr>
        <w:t xml:space="preserve">Generated June 3, 2026. Consolidates updates since the prior methodology compilation (April 24, 2026, SLR_Methodology_Suggestions_From_Chats.docx).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18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SLR Methodology Update — Vibe Coding Governance SLR</dc:title>
  <dc:creator>Scott Thurlow</dc:creator>
  <dc:description>Methodology update covering Pass 2 screening, verification sampling, pipeline hardening, and tooling additions.</dc:description>
  <cp:lastModifiedBy>Un-named</cp:lastModifiedBy>
  <cp:revision>1</cp:revision>
  <dcterms:created xsi:type="dcterms:W3CDTF">2026-06-04T00:00:36.728Z</dcterms:created>
  <dcterms:modified xsi:type="dcterms:W3CDTF">2026-06-04T00:00:36.728Z</dcterms:modified>
</cp:coreProperties>
</file>

<file path=docProps/custom.xml><?xml version="1.0" encoding="utf-8"?>
<Properties xmlns="http://schemas.openxmlformats.org/officeDocument/2006/custom-properties" xmlns:vt="http://schemas.openxmlformats.org/officeDocument/2006/docPropsVTypes"/>
</file>