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Screening Reliability and Cross-Model Validation</w:t>
      </w:r>
    </w:p>
    <w:p>
      <w:pPr>
        <w:spacing w:after="320"/>
      </w:pPr>
      <w:r>
        <w:rPr>
          <w:i/>
          <w:iCs/>
          <w:color w:val="555555"/>
          <w:sz w:val="20"/>
          <w:szCs w:val="20"/>
        </w:rPr>
        <w:t xml:space="preserve">Draft methods-chapter section — Vibe Coding Governance SLR</w:t>
      </w:r>
    </w:p>
    <w:p>
      <w:pPr>
        <w:pStyle w:val="Heading1"/>
        <w:spacing w:after="160" w:before="320"/>
      </w:pPr>
      <w:r>
        <w:t xml:space="preserve">1. Verification Approach</w:t>
      </w:r>
    </w:p>
    <w:p>
      <w:pPr>
        <w:spacing w:after="160"/>
      </w:pPr>
      <w:r>
        <w:rPr>
          <w:b w:val="false"/>
          <w:bCs w:val="false"/>
          <w:i w:val="false"/>
          <w:iCs w:val="false"/>
        </w:rPr>
        <w:t xml:space="preserve">Screening reliability for this systematic literature review was assessed through a two-sample design, distinguishing operational quality gating from citable measurement of inter-rater reliability. The two samples serve incompatible purposes and are therefore never merged:</w:t>
      </w:r>
    </w:p>
    <w:p>
      <w:pPr>
        <w:pStyle w:val="ListParagraph"/>
        <w:numPr>
          <w:ilvl w:val="0"/>
          <w:numId w:val="1"/>
        </w:numPr>
        <w:spacing w:after="80"/>
      </w:pPr>
      <w:r>
        <w:t xml:space="preserve">A Trust Check — a stratified, unblinded sample used as a fast, pre-apply gate on each screening pass. Its stratified design (equal representation per decision category) deliberately over-represents Maybe and under-represents Discard relative to the true population, which makes it unsuitable for reporting a population-level κ.</w:t>
      </w:r>
    </w:p>
    <w:p>
      <w:pPr>
        <w:pStyle w:val="ListParagraph"/>
        <w:numPr>
          <w:ilvl w:val="0"/>
          <w:numId w:val="1"/>
        </w:numPr>
        <w:spacing w:after="80"/>
      </w:pPr>
      <w:r>
        <w:t xml:space="preserve">A Methodology Validation — a random, blinded sample (the AI decision withheld from the reviewer until independent re-coding is complete) used to compute the citable Cohen's κ for this methods chapter.</w:t>
      </w:r>
    </w:p>
    <w:p>
      <w:pPr>
        <w:spacing w:after="160"/>
      </w:pPr>
      <w:r>
        <w:rPr>
          <w:b w:val="false"/>
          <w:bCs w:val="false"/>
          <w:i w:val="false"/>
          <w:iCs w:val="false"/>
        </w:rPr>
        <w:t xml:space="preserve">This section reports results to date from both samples across Pass 1 and Pass 2, and documents a cross-model (Claude / ChatGPT / Gemini) validation exercise undertaken prior to adopting a single-coder screening protocol.</w:t>
      </w:r>
    </w:p>
    <w:p>
      <w:pPr>
        <w:spacing w:after="240"/>
      </w:pPr>
      <w:r>
        <w:rPr>
          <w:i/>
          <w:iCs/>
          <w:color w:val="555555"/>
          <w:sz w:val="18"/>
          <w:szCs w:val="18"/>
        </w:rPr>
        <w:t xml:space="preserve">Source: Verification sampling methodology note, 2026-06-03; "Methodology documentation for media metadata project" session, 2026-06-04.</w:t>
      </w:r>
    </w:p>
    <w:p>
      <w:pPr>
        <w:pStyle w:val="Heading1"/>
        <w:spacing w:after="160" w:before="320"/>
      </w:pPr>
      <w:r>
        <w:t xml:space="preserve">2. Pass 1: Pilot Cross-Model Comparison</w:t>
      </w:r>
    </w:p>
    <w:p>
      <w:pPr>
        <w:spacing w:after="160"/>
      </w:pPr>
      <w:r>
        <w:rPr>
          <w:b w:val="false"/>
          <w:bCs w:val="false"/>
          <w:i w:val="false"/>
          <w:iCs w:val="false"/>
        </w:rPr>
        <w:t xml:space="preserve">Before committing to a single-coder (Claude) screening protocol for Pass 1, a pilot quality check compared decisions from Claude, ChatGPT, Gemini, and the human reviewer on a shared subset of records.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200"/>
      </w:tblGrid>
      <w:tr>
        <w:tc>
          <w:tcPr>
            <w:tcW w:type="dxa" w:w="3400"/>
            <w:shd w:fill="D5E8F0" w:val="clear"/>
          </w:tcPr>
          <w:p>
            <w:r>
              <w:rPr>
                <w:b/>
                <w:bCs/>
              </w:rPr>
              <w:t xml:space="preserve">Rater pair</w:t>
            </w:r>
          </w:p>
        </w:tc>
        <w:tc>
          <w:tcPr>
            <w:tcW w:type="dxa" w:w="2000"/>
            <w:shd w:fill="D5E8F0" w:val="clear"/>
          </w:tcPr>
          <w:p>
            <w:r>
              <w:rPr>
                <w:b/>
                <w:bCs/>
              </w:rPr>
              <w:t xml:space="preserve">Cohen's κ</w:t>
            </w:r>
          </w:p>
        </w:tc>
        <w:tc>
          <w:tcPr>
            <w:tcW w:type="dxa" w:w="3200"/>
            <w:shd w:fill="D5E8F0" w:val="clear"/>
          </w:tcPr>
          <w:p>
            <w:r>
              <w:rPr>
                <w:b/>
                <w:bCs/>
              </w:rPr>
              <w:t xml:space="preserve">Landis &amp; Koch (1977) band</w:t>
            </w:r>
          </w:p>
        </w:tc>
      </w:tr>
      <w:tr>
        <w:tc>
          <w:tcPr>
            <w:tcW w:type="dxa" w:w="3400"/>
          </w:tcPr>
          <w:p>
            <w:r>
              <w:rPr>
                <w:b w:val="false"/>
                <w:bCs w:val="false"/>
              </w:rPr>
              <w:t xml:space="preserve">ChatGPT / Gemini</w:t>
            </w:r>
          </w:p>
        </w:tc>
        <w:tc>
          <w:tcPr>
            <w:tcW w:type="dxa" w:w="2000"/>
          </w:tcPr>
          <w:p>
            <w:r>
              <w:rPr>
                <w:b w:val="false"/>
                <w:bCs w:val="false"/>
              </w:rPr>
              <w:t xml:space="preserve">0.358</w:t>
            </w:r>
          </w:p>
        </w:tc>
        <w:tc>
          <w:tcPr>
            <w:tcW w:type="dxa" w:w="3200"/>
          </w:tcPr>
          <w:p>
            <w:r>
              <w:rPr>
                <w:b w:val="false"/>
                <w:bCs w:val="false"/>
              </w:rPr>
              <w:t xml:space="preserve">Fair</w:t>
            </w:r>
          </w:p>
        </w:tc>
      </w:tr>
      <w:tr>
        <w:tc>
          <w:tcPr>
            <w:tcW w:type="dxa" w:w="3400"/>
          </w:tcPr>
          <w:p>
            <w:r>
              <w:rPr>
                <w:b w:val="false"/>
                <w:bCs w:val="false"/>
              </w:rPr>
              <w:t xml:space="preserve">Claude / ChatGPT</w:t>
            </w:r>
          </w:p>
        </w:tc>
        <w:tc>
          <w:tcPr>
            <w:tcW w:type="dxa" w:w="2000"/>
          </w:tcPr>
          <w:p>
            <w:r>
              <w:rPr>
                <w:b w:val="false"/>
                <w:bCs w:val="false"/>
              </w:rPr>
              <w:t xml:space="preserve">0.334</w:t>
            </w:r>
          </w:p>
        </w:tc>
        <w:tc>
          <w:tcPr>
            <w:tcW w:type="dxa" w:w="3200"/>
          </w:tcPr>
          <w:p>
            <w:r>
              <w:rPr>
                <w:b w:val="false"/>
                <w:bCs w:val="false"/>
              </w:rPr>
              <w:t xml:space="preserve">Fair</w:t>
            </w:r>
          </w:p>
        </w:tc>
      </w:tr>
      <w:tr>
        <w:tc>
          <w:tcPr>
            <w:tcW w:type="dxa" w:w="3400"/>
          </w:tcPr>
          <w:p>
            <w:r>
              <w:rPr>
                <w:b w:val="false"/>
                <w:bCs w:val="false"/>
              </w:rPr>
              <w:t xml:space="preserve">Claude / Human</w:t>
            </w:r>
          </w:p>
        </w:tc>
        <w:tc>
          <w:tcPr>
            <w:tcW w:type="dxa" w:w="2000"/>
          </w:tcPr>
          <w:p>
            <w:r>
              <w:rPr>
                <w:b w:val="false"/>
                <w:bCs w:val="false"/>
              </w:rPr>
              <w:t xml:space="preserve">0.273</w:t>
            </w:r>
          </w:p>
        </w:tc>
        <w:tc>
          <w:tcPr>
            <w:tcW w:type="dxa" w:w="3200"/>
          </w:tcPr>
          <w:p>
            <w:r>
              <w:rPr>
                <w:b w:val="false"/>
                <w:bCs w:val="false"/>
              </w:rPr>
              <w:t xml:space="preserve">Fair</w:t>
            </w:r>
          </w:p>
        </w:tc>
      </w:tr>
      <w:tr>
        <w:tc>
          <w:tcPr>
            <w:tcW w:type="dxa" w:w="3400"/>
          </w:tcPr>
          <w:p>
            <w:r>
              <w:rPr>
                <w:b w:val="false"/>
                <w:bCs w:val="false"/>
              </w:rPr>
              <w:t xml:space="preserve">Claude / Gemini</w:t>
            </w:r>
          </w:p>
        </w:tc>
        <w:tc>
          <w:tcPr>
            <w:tcW w:type="dxa" w:w="2000"/>
          </w:tcPr>
          <w:p>
            <w:r>
              <w:rPr>
                <w:b w:val="false"/>
                <w:bCs w:val="false"/>
              </w:rPr>
              <w:t xml:space="preserve">0.154</w:t>
            </w:r>
          </w:p>
        </w:tc>
        <w:tc>
          <w:tcPr>
            <w:tcW w:type="dxa" w:w="3200"/>
          </w:tcPr>
          <w:p>
            <w:r>
              <w:rPr>
                <w:b w:val="false"/>
                <w:bCs w:val="false"/>
              </w:rPr>
              <w:t xml:space="preserve">Slight</w:t>
            </w:r>
          </w:p>
        </w:tc>
      </w:tr>
      <w:tr>
        <w:tc>
          <w:tcPr>
            <w:tcW w:type="dxa" w:w="3400"/>
          </w:tcPr>
          <w:p>
            <w:r>
              <w:rPr>
                <w:b w:val="false"/>
                <w:bCs w:val="false"/>
              </w:rPr>
              <w:t xml:space="preserve">Human / ChatGPT</w:t>
            </w:r>
          </w:p>
        </w:tc>
        <w:tc>
          <w:tcPr>
            <w:tcW w:type="dxa" w:w="2000"/>
          </w:tcPr>
          <w:p>
            <w:r>
              <w:rPr>
                <w:b w:val="false"/>
                <w:bCs w:val="false"/>
              </w:rPr>
              <w:t xml:space="preserve">0.077</w:t>
            </w:r>
          </w:p>
        </w:tc>
        <w:tc>
          <w:tcPr>
            <w:tcW w:type="dxa" w:w="3200"/>
          </w:tcPr>
          <w:p>
            <w:r>
              <w:rPr>
                <w:b w:val="false"/>
                <w:bCs w:val="false"/>
              </w:rPr>
              <w:t xml:space="preserve">Slight</w:t>
            </w:r>
          </w:p>
        </w:tc>
      </w:tr>
      <w:tr>
        <w:tc>
          <w:tcPr>
            <w:tcW w:type="dxa" w:w="3400"/>
          </w:tcPr>
          <w:p>
            <w:r>
              <w:rPr>
                <w:b w:val="false"/>
                <w:bCs w:val="false"/>
              </w:rPr>
              <w:t xml:space="preserve">Human / Gemini</w:t>
            </w:r>
          </w:p>
        </w:tc>
        <w:tc>
          <w:tcPr>
            <w:tcW w:type="dxa" w:w="2000"/>
          </w:tcPr>
          <w:p>
            <w:r>
              <w:rPr>
                <w:b w:val="false"/>
                <w:bCs w:val="false"/>
              </w:rPr>
              <w:t xml:space="preserve">0.052</w:t>
            </w:r>
          </w:p>
        </w:tc>
        <w:tc>
          <w:tcPr>
            <w:tcW w:type="dxa" w:w="3200"/>
          </w:tcPr>
          <w:p>
            <w:r>
              <w:rPr>
                <w:b w:val="false"/>
                <w:bCs w:val="false"/>
              </w:rPr>
              <w:t xml:space="preserve">Slight</w:t>
            </w:r>
          </w:p>
        </w:tc>
      </w:tr>
    </w:tbl>
    <w:p>
      <w:pPr>
        <w:spacing w:after="160"/>
      </w:pPr>
      <w:r>
        <w:rPr>
          <w:b w:val="false"/>
          <w:bCs w:val="false"/>
          <w:i w:val="false"/>
          <w:iCs w:val="false"/>
        </w:rPr>
        <w:t xml:space="preserve"/>
      </w:r>
    </w:p>
    <w:p>
      <w:pPr>
        <w:spacing w:after="160"/>
      </w:pPr>
      <w:r>
        <w:rPr>
          <w:b w:val="false"/>
          <w:bCs w:val="false"/>
          <w:i w:val="false"/>
          <w:iCs w:val="false"/>
        </w:rPr>
        <w:t xml:space="preserve">Keep-rate divergence was substantial across raters: ChatGPT keep rate ≈ 60%, Gemini ≈ 66%, Claude intermediate, and the human reviewer most conservative at ≈ 32%. All human/LLM κ values fell below the 0.40 floor conventionally treated as a minimum acceptable inter-rater reliability threshold in single-coder SLR designs with AI assistance.</w:t>
      </w:r>
    </w:p>
    <w:p>
      <w:pPr>
        <w:spacing w:after="240"/>
      </w:pPr>
      <w:r>
        <w:rPr>
          <w:i/>
          <w:iCs/>
          <w:color w:val="555555"/>
          <w:sz w:val="18"/>
          <w:szCs w:val="18"/>
        </w:rPr>
        <w:t xml:space="preserve">Source: "Scaling human oversight of code generation" session, 2026-06-07; decisions.xlsx (item_key, decision, human_decision, chatgpt_decision, gemini_decision).</w:t>
      </w:r>
    </w:p>
    <w:p>
      <w:pPr>
        <w:pStyle w:val="Heading2"/>
        <w:spacing w:after="120" w:before="240"/>
      </w:pPr>
      <w:r>
        <w:t xml:space="preserve">2.1 Methodological Response</w:t>
      </w:r>
    </w:p>
    <w:p>
      <w:pPr>
        <w:spacing w:after="160"/>
      </w:pPr>
      <w:r>
        <w:rPr>
          <w:b w:val="false"/>
          <w:bCs w:val="false"/>
          <w:i w:val="false"/>
          <w:iCs w:val="false"/>
        </w:rPr>
        <w:t xml:space="preserve">Given sub-threshold agreement across all human/LLM pairs, classification authority was retained exclusively with the human reviewer. Claude, ChatGPT, and Gemini were reclassified from candidate co-screeners to consistency-check and validation tools — a distinction maintained throughout the remainder of the protocol and stated explicitly in the AI-use disclosure (§5).</w:t>
      </w:r>
    </w:p>
    <w:p>
      <w:pPr>
        <w:spacing w:after="160"/>
      </w:pPr>
      <w:r>
        <w:rPr>
          <w:b w:val="false"/>
          <w:bCs w:val="false"/>
          <w:i w:val="false"/>
          <w:iCs w:val="false"/>
        </w:rPr>
        <w:t xml:space="preserve">Production Pass 1 title/abstract screening was subsequently conducted by a single AI screener (Claude Sonnet 4.6, via Claude Code CLI) against pre-defined inclusion/exclusion criteria, with the human reviewer's decision serving as ground truth wherever the two diverged.</w:t>
      </w:r>
    </w:p>
    <w:p>
      <w:pPr>
        <w:pStyle w:val="Heading1"/>
        <w:spacing w:after="160" w:before="320"/>
      </w:pPr>
      <w:r>
        <w:t xml:space="preserve">3. Pass 1: Production Screening Run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600"/>
        <w:gridCol w:w="2400"/>
      </w:tblGrid>
      <w:tr>
        <w:tc>
          <w:tcPr>
            <w:tcW w:type="dxa" w:w="1800"/>
            <w:shd w:fill="D5E8F0" w:val="clear"/>
          </w:tcPr>
          <w:p>
            <w:r>
              <w:rPr>
                <w:b/>
                <w:bCs/>
              </w:rPr>
              <w:t xml:space="preserve">Corpus</w:t>
            </w:r>
          </w:p>
        </w:tc>
        <w:tc>
          <w:tcPr>
            <w:tcW w:type="dxa" w:w="1800"/>
            <w:shd w:fill="D5E8F0" w:val="clear"/>
          </w:tcPr>
          <w:p>
            <w:r>
              <w:rPr>
                <w:b/>
                <w:bCs/>
              </w:rPr>
              <w:t xml:space="preserve">Items screened</w:t>
            </w:r>
          </w:p>
        </w:tc>
        <w:tc>
          <w:tcPr>
            <w:tcW w:type="dxa" w:w="2600"/>
            <w:shd w:fill="D5E8F0" w:val="clear"/>
          </w:tcPr>
          <w:p>
            <w:r>
              <w:rPr>
                <w:b/>
                <w:bCs/>
              </w:rPr>
              <w:t xml:space="preserve">Screener</w:t>
            </w:r>
          </w:p>
        </w:tc>
        <w:tc>
          <w:tcPr>
            <w:tcW w:type="dxa" w:w="2400"/>
            <w:shd w:fill="D5E8F0" w:val="clear"/>
          </w:tcPr>
          <w:p>
            <w:r>
              <w:rPr>
                <w:b/>
                <w:bCs/>
              </w:rPr>
              <w:t xml:space="preserve">Notes</w:t>
            </w:r>
          </w:p>
        </w:tc>
      </w:tr>
      <w:tr>
        <w:tc>
          <w:tcPr>
            <w:tcW w:type="dxa" w:w="1800"/>
          </w:tcPr>
          <w:p>
            <w:r>
              <w:rPr>
                <w:b w:val="false"/>
                <w:bCs w:val="false"/>
              </w:rPr>
              <w:t xml:space="preserve">SSRN</w:t>
            </w:r>
          </w:p>
        </w:tc>
        <w:tc>
          <w:tcPr>
            <w:tcW w:type="dxa" w:w="1800"/>
          </w:tcPr>
          <w:p>
            <w:r>
              <w:rPr>
                <w:b w:val="false"/>
                <w:bCs w:val="false"/>
              </w:rPr>
              <w:t xml:space="preserve">3,864</w:t>
            </w:r>
          </w:p>
        </w:tc>
        <w:tc>
          <w:tcPr>
            <w:tcW w:type="dxa" w:w="2600"/>
          </w:tcPr>
          <w:p>
            <w:r>
              <w:rPr>
                <w:b w:val="false"/>
                <w:bCs w:val="false"/>
              </w:rPr>
              <w:t xml:space="preserve">Claude Sonnet 4.6</w:t>
            </w:r>
          </w:p>
        </w:tc>
        <w:tc>
          <w:tcPr>
            <w:tcW w:type="dxa" w:w="2400"/>
          </w:tcPr>
          <w:p>
            <w:r>
              <w:rPr>
                <w:b w:val="false"/>
                <w:bCs w:val="false"/>
              </w:rPr>
              <w:t xml:space="preserve">Earlier partial Opus 4.7 run (~325 items) archived; not merged into final counts</w:t>
            </w:r>
          </w:p>
        </w:tc>
      </w:tr>
      <w:tr>
        <w:tc>
          <w:tcPr>
            <w:tcW w:type="dxa" w:w="1800"/>
          </w:tcPr>
          <w:p>
            <w:r>
              <w:rPr>
                <w:b w:val="false"/>
                <w:bCs w:val="false"/>
              </w:rPr>
              <w:t xml:space="preserve">Non-SSRN</w:t>
            </w:r>
          </w:p>
        </w:tc>
        <w:tc>
          <w:tcPr>
            <w:tcW w:type="dxa" w:w="1800"/>
          </w:tcPr>
          <w:p>
            <w:r>
              <w:rPr>
                <w:b w:val="false"/>
                <w:bCs w:val="false"/>
              </w:rPr>
              <w:t xml:space="preserve">≈ 2,952</w:t>
            </w:r>
          </w:p>
        </w:tc>
        <w:tc>
          <w:tcPr>
            <w:tcW w:type="dxa" w:w="2600"/>
          </w:tcPr>
          <w:p>
            <w:r>
              <w:rPr>
                <w:b w:val="false"/>
                <w:bCs w:val="false"/>
              </w:rPr>
              <w:t xml:space="preserve">Claude Sonnet 4.6</w:t>
            </w:r>
          </w:p>
        </w:tc>
        <w:tc>
          <w:tcPr>
            <w:tcW w:type="dxa" w:w="2400"/>
          </w:tcPr>
          <w:p>
            <w:r>
              <w:rPr>
                <w:b w:val="false"/>
                <w:bCs w:val="false"/>
              </w:rPr>
              <w:t xml:space="preserve">30s inter-item rate limit, Claude Max subscription</w:t>
            </w:r>
          </w:p>
        </w:tc>
      </w:tr>
    </w:tbl>
    <w:p>
      <w:pPr>
        <w:spacing w:after="160"/>
      </w:pPr>
      <w:r>
        <w:rPr>
          <w:b w:val="false"/>
          <w:bCs w:val="false"/>
          <w:i w:val="false"/>
          <w:iCs w:val="false"/>
        </w:rPr>
        <w:t xml:space="preserve"/>
      </w:r>
    </w:p>
    <w:p>
      <w:pPr>
        <w:spacing w:after="160"/>
      </w:pPr>
      <w:r>
        <w:rPr>
          <w:b w:val="false"/>
          <w:bCs w:val="false"/>
          <w:i w:val="false"/>
          <w:iCs w:val="false"/>
        </w:rPr>
        <w:t xml:space="preserve">Ground-truth restoration applied 2,890 items with zero apply errors (79 benign SSRN merge-orphan fetch failures; 30 items skipped as deliberately superseded duplicates). The union rule — human decision overrides Claude for collection placement — was applied throughout.</w:t>
      </w:r>
    </w:p>
    <w:p>
      <w:pPr>
        <w:spacing w:after="240"/>
      </w:pPr>
      <w:r>
        <w:rPr>
          <w:i/>
          <w:iCs/>
          <w:color w:val="555555"/>
          <w:sz w:val="18"/>
          <w:szCs w:val="18"/>
        </w:rPr>
        <w:t xml:space="preserve">Source: Ground-truth files nonssrn-decisions-2026-05-25.csv and ssrn-decisions.xlsx; "Scaling human oversight of code generation" session, 2026-06-07.</w:t>
      </w:r>
    </w:p>
    <w:p>
      <w:pPr>
        <w:pStyle w:val="Heading1"/>
        <w:spacing w:after="160" w:before="320"/>
      </w:pPr>
      <w:r>
        <w:t xml:space="preserve">4. Pass 2: Screening Result and Trust Check</w:t>
      </w:r>
    </w:p>
    <w:p>
      <w:pPr>
        <w:spacing w:after="160"/>
      </w:pPr>
      <w:r>
        <w:rPr>
          <w:b w:val="false"/>
          <w:bCs w:val="false"/>
          <w:i w:val="false"/>
          <w:iCs w:val="false"/>
        </w:rPr>
        <w:t xml:space="preserve">Pass 2 applied a tightened, operationalizable-relevance rubric to the 4,061 Pass-1 Keep + Maybe items, yielding 973 Keep, 73 Maybe, and 2,908 Discard — a 73% rejection rate, consistent with Pass 2's intended function as weeding rather than confirmation.</w:t>
      </w:r>
    </w:p>
    <w:p>
      <w:pPr>
        <w:spacing w:after="160"/>
      </w:pPr>
      <w:r>
        <w:rPr>
          <w:b w:val="false"/>
          <w:bCs w:val="false"/>
          <w:i w:val="false"/>
          <w:iCs w:val="false"/>
        </w:rPr>
        <w:t xml:space="preserve">A stratified, unblinded Trust Check (20 items per decision category) gated the apply decision: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200"/>
        <w:gridCol w:w="4600"/>
      </w:tblGrid>
      <w:tr>
        <w:tc>
          <w:tcPr>
            <w:tcW w:type="dxa" w:w="4200"/>
            <w:shd w:fill="D5E8F0" w:val="clear"/>
          </w:tcPr>
          <w:p>
            <w:r>
              <w:rPr>
                <w:b/>
                <w:bCs/>
              </w:rPr>
              <w:t xml:space="preserve">Metric</w:t>
            </w:r>
          </w:p>
        </w:tc>
        <w:tc>
          <w:tcPr>
            <w:tcW w:type="dxa" w:w="4600"/>
            <w:shd w:fill="D5E8F0" w:val="clear"/>
          </w:tcPr>
          <w:p>
            <w:r>
              <w:rPr>
                <w:b/>
                <w:bCs/>
              </w:rPr>
              <w:t xml:space="preserve">Value</w:t>
            </w:r>
          </w:p>
        </w:tc>
      </w:tr>
      <w:tr>
        <w:tc>
          <w:tcPr>
            <w:tcW w:type="dxa" w:w="4200"/>
          </w:tcPr>
          <w:p>
            <w:r>
              <w:rPr>
                <w:b w:val="false"/>
                <w:bCs w:val="false"/>
              </w:rPr>
              <w:t xml:space="preserve">Items coded</w:t>
            </w:r>
          </w:p>
        </w:tc>
        <w:tc>
          <w:tcPr>
            <w:tcW w:type="dxa" w:w="4600"/>
          </w:tcPr>
          <w:p>
            <w:r>
              <w:rPr>
                <w:b w:val="false"/>
                <w:bCs w:val="false"/>
              </w:rPr>
              <w:t xml:space="preserve">58 of 60</w:t>
            </w:r>
          </w:p>
        </w:tc>
      </w:tr>
      <w:tr>
        <w:tc>
          <w:tcPr>
            <w:tcW w:type="dxa" w:w="4200"/>
          </w:tcPr>
          <w:p>
            <w:r>
              <w:rPr>
                <w:b w:val="false"/>
                <w:bCs w:val="false"/>
              </w:rPr>
              <w:t xml:space="preserve">Observed agreement (P₀)</w:t>
            </w:r>
          </w:p>
        </w:tc>
        <w:tc>
          <w:tcPr>
            <w:tcW w:type="dxa" w:w="4600"/>
          </w:tcPr>
          <w:p>
            <w:r>
              <w:rPr>
                <w:b w:val="false"/>
                <w:bCs w:val="false"/>
              </w:rPr>
              <w:t xml:space="preserve">86.2% (50/58)</w:t>
            </w:r>
          </w:p>
        </w:tc>
      </w:tr>
      <w:tr>
        <w:tc>
          <w:tcPr>
            <w:tcW w:type="dxa" w:w="4200"/>
          </w:tcPr>
          <w:p>
            <w:r>
              <w:rPr>
                <w:b w:val="false"/>
                <w:bCs w:val="false"/>
              </w:rPr>
              <w:t xml:space="preserve">Cohen's κ</w:t>
            </w:r>
          </w:p>
        </w:tc>
        <w:tc>
          <w:tcPr>
            <w:tcW w:type="dxa" w:w="4600"/>
          </w:tcPr>
          <w:p>
            <w:r>
              <w:rPr>
                <w:b w:val="false"/>
                <w:bCs w:val="false"/>
              </w:rPr>
              <w:t xml:space="preserve">0.79 — substantial (Landis &amp; Koch, 1977)</w:t>
            </w:r>
          </w:p>
        </w:tc>
      </w:tr>
      <w:tr>
        <w:tc>
          <w:tcPr>
            <w:tcW w:type="dxa" w:w="4200"/>
          </w:tcPr>
          <w:p>
            <w:r>
              <w:rPr>
                <w:b w:val="false"/>
                <w:bCs w:val="false"/>
              </w:rPr>
              <w:t xml:space="preserve">Discard agreement</w:t>
            </w:r>
          </w:p>
        </w:tc>
        <w:tc>
          <w:tcPr>
            <w:tcW w:type="dxa" w:w="4600"/>
          </w:tcPr>
          <w:p>
            <w:r>
              <w:rPr>
                <w:b w:val="false"/>
                <w:bCs w:val="false"/>
              </w:rPr>
              <w:t xml:space="preserve">20/20 = 100% (zero false negatives)</w:t>
            </w:r>
          </w:p>
        </w:tc>
      </w:tr>
      <w:tr>
        <w:tc>
          <w:tcPr>
            <w:tcW w:type="dxa" w:w="4200"/>
          </w:tcPr>
          <w:p>
            <w:r>
              <w:rPr>
                <w:b w:val="false"/>
                <w:bCs w:val="false"/>
              </w:rPr>
              <w:t xml:space="preserve">Keep agreement</w:t>
            </w:r>
          </w:p>
        </w:tc>
        <w:tc>
          <w:tcPr>
            <w:tcW w:type="dxa" w:w="4600"/>
          </w:tcPr>
          <w:p>
            <w:r>
              <w:rPr>
                <w:b w:val="false"/>
                <w:bCs w:val="false"/>
              </w:rPr>
              <w:t xml:space="preserve">17/20 = 85%</w:t>
            </w:r>
          </w:p>
        </w:tc>
      </w:tr>
      <w:tr>
        <w:tc>
          <w:tcPr>
            <w:tcW w:type="dxa" w:w="4200"/>
          </w:tcPr>
          <w:p>
            <w:r>
              <w:rPr>
                <w:b w:val="false"/>
                <w:bCs w:val="false"/>
              </w:rPr>
              <w:t xml:space="preserve">Maybe agreement</w:t>
            </w:r>
          </w:p>
        </w:tc>
        <w:tc>
          <w:tcPr>
            <w:tcW w:type="dxa" w:w="4600"/>
          </w:tcPr>
          <w:p>
            <w:r>
              <w:rPr>
                <w:b w:val="false"/>
                <w:bCs w:val="false"/>
              </w:rPr>
              <w:t xml:space="preserve">13/18 = 72%</w:t>
            </w:r>
          </w:p>
        </w:tc>
      </w:tr>
      <w:tr>
        <w:tc>
          <w:tcPr>
            <w:tcW w:type="dxa" w:w="4200"/>
          </w:tcPr>
          <w:p>
            <w:r>
              <w:rPr>
                <w:b w:val="false"/>
                <w:bCs w:val="false"/>
              </w:rPr>
              <w:t xml:space="preserve">Disagreement rate</w:t>
            </w:r>
          </w:p>
        </w:tc>
        <w:tc>
          <w:tcPr>
            <w:tcW w:type="dxa" w:w="4600"/>
          </w:tcPr>
          <w:p>
            <w:r>
              <w:rPr>
                <w:b w:val="false"/>
                <w:bCs w:val="false"/>
              </w:rPr>
              <w:t xml:space="preserve">13.8%</w:t>
            </w:r>
          </w:p>
        </w:tc>
      </w:tr>
    </w:tbl>
    <w:p>
      <w:pPr>
        <w:spacing w:after="160"/>
      </w:pPr>
      <w:r>
        <w:rPr>
          <w:b w:val="false"/>
          <w:bCs w:val="false"/>
          <w:i w:val="false"/>
          <w:iCs w:val="false"/>
        </w:rPr>
        <w:t xml:space="preserve"/>
      </w:r>
    </w:p>
    <w:p>
      <w:pPr>
        <w:spacing w:after="160"/>
      </w:pPr>
      <w:r>
        <w:rPr>
          <w:b w:val="false"/>
          <w:bCs w:val="false"/>
          <w:i w:val="false"/>
          <w:iCs w:val="false"/>
        </w:rPr>
        <w:t xml:space="preserve">Per the pre-registered decision rule (≤ 5% disagreement → apply; 5–15% → apply with documentation; ≥ 15% → stop and revise), the 13.8% disagreement rate authorized application of Pass 2 decisions with documentation of the disagreement pattern. Zero false negatives among Discards — the category with the highest cost of erroneous exclusion — was treated as the decisive factor supporting apply-and-document over a stop-and-revise response.</w:t>
      </w:r>
    </w:p>
    <w:p>
      <w:pPr>
        <w:spacing w:after="240"/>
      </w:pPr>
      <w:r>
        <w:rPr>
          <w:i/>
          <w:iCs/>
          <w:color w:val="555555"/>
          <w:sz w:val="18"/>
          <w:szCs w:val="18"/>
        </w:rPr>
        <w:t xml:space="preserve">Source: "Methodology documentation for media metadata project" session, 2026-06-04 (Trust Check results, generate_verification_samples.py, seed=42, --trust-per-stratum 20).</w:t>
      </w:r>
    </w:p>
    <w:p>
      <w:pPr>
        <w:pStyle w:val="Heading1"/>
        <w:spacing w:after="160" w:before="320"/>
      </w:pPr>
      <w:r>
        <w:t xml:space="preserve">5. Pass 2: Cross-Model Validation and the Gemini Reliability Finding</w:t>
      </w:r>
    </w:p>
    <w:p>
      <w:pPr>
        <w:spacing w:after="160"/>
      </w:pPr>
      <w:r>
        <w:rPr>
          <w:b w:val="false"/>
          <w:bCs w:val="false"/>
          <w:i w:val="false"/>
          <w:iCs w:val="false"/>
        </w:rPr>
        <w:t xml:space="preserve">A secondary cross-model validation exercise applied ChatGPT and Gemini Flash to 600 non-SSRN records as an additional check on Claude's Pass 2 decisions. Gemini Flash was found unsuitable as a validator: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c>
          <w:tcPr>
            <w:tcW w:type="dxa" w:w="2600"/>
            <w:shd w:fill="D5E8F0" w:val="clear"/>
          </w:tcPr>
          <w:p>
            <w:r>
              <w:rPr>
                <w:b/>
                <w:bCs/>
              </w:rPr>
              <w:t xml:space="preserve">Finding</w:t>
            </w:r>
          </w:p>
        </w:tc>
        <w:tc>
          <w:tcPr>
            <w:tcW w:type="dxa" w:w="6200"/>
            <w:shd w:fill="D5E8F0" w:val="clear"/>
          </w:tcPr>
          <w:p>
            <w:r>
              <w:rPr>
                <w:b/>
                <w:bCs/>
              </w:rPr>
              <w:t xml:space="preserve">Detail</w:t>
            </w:r>
          </w:p>
        </w:tc>
      </w:tr>
      <w:tr>
        <w:tc>
          <w:tcPr>
            <w:tcW w:type="dxa" w:w="2600"/>
          </w:tcPr>
          <w:p>
            <w:r>
              <w:rPr>
                <w:b w:val="false"/>
                <w:bCs w:val="false"/>
              </w:rPr>
              <w:t xml:space="preserve">Hallucinated item_keys</w:t>
            </w:r>
          </w:p>
        </w:tc>
        <w:tc>
          <w:tcPr>
            <w:tcW w:type="dxa" w:w="6200"/>
          </w:tcPr>
          <w:p>
            <w:r>
              <w:rPr>
                <w:b w:val="false"/>
                <w:bCs w:val="false"/>
              </w:rPr>
              <w:t xml:space="preserve">341 of 600 (≈ 57%) returned keys did not correspond to real input rows</w:t>
            </w:r>
          </w:p>
        </w:tc>
      </w:tr>
      <w:tr>
        <w:tc>
          <w:tcPr>
            <w:tcW w:type="dxa" w:w="2600"/>
          </w:tcPr>
          <w:p>
            <w:r>
              <w:rPr>
                <w:b w:val="false"/>
                <w:bCs w:val="false"/>
              </w:rPr>
              <w:t xml:space="preserve">Pattern</w:t>
            </w:r>
          </w:p>
        </w:tc>
        <w:tc>
          <w:tcPr>
            <w:tcW w:type="dxa" w:w="6200"/>
          </w:tcPr>
          <w:p>
            <w:r>
              <w:rPr>
                <w:b w:val="false"/>
                <w:bCs w:val="false"/>
              </w:rPr>
              <w:t xml:space="preserve">Batches 1, 2, 4, 6, 7, 8, 12 (≈ 98% hallucinated each) appeared to complete cleanly; batches 3, 5, 9, 10, 11 required re-prompting and were the only ones to return valid keys</w:t>
            </w:r>
          </w:p>
        </w:tc>
      </w:tr>
      <w:tr>
        <w:tc>
          <w:tcPr>
            <w:tcW w:type="dxa" w:w="2600"/>
          </w:tcPr>
          <w:p>
            <w:r>
              <w:rPr>
                <w:b w:val="false"/>
                <w:bCs w:val="false"/>
              </w:rPr>
              <w:t xml:space="preserve">Usable decisions</w:t>
            </w:r>
          </w:p>
        </w:tc>
        <w:tc>
          <w:tcPr>
            <w:tcW w:type="dxa" w:w="6200"/>
          </w:tcPr>
          <w:p>
            <w:r>
              <w:rPr>
                <w:b w:val="false"/>
                <w:bCs w:val="false"/>
              </w:rPr>
              <w:t xml:space="preserve">259 of 600 (43%), and non-randomly distributed — confined to the re-prompted batches</w:t>
            </w:r>
          </w:p>
        </w:tc>
      </w:tr>
    </w:tbl>
    <w:p>
      <w:pPr>
        <w:spacing w:after="160"/>
      </w:pPr>
      <w:r>
        <w:rPr>
          <w:b w:val="false"/>
          <w:bCs w:val="false"/>
          <w:i w:val="false"/>
          <w:iCs w:val="false"/>
        </w:rPr>
        <w:t xml:space="preserve"/>
      </w:r>
    </w:p>
    <w:p>
      <w:pPr>
        <w:spacing w:after="160"/>
      </w:pPr>
      <w:r>
        <w:rPr>
          <w:b w:val="false"/>
          <w:bCs w:val="false"/>
          <w:i w:val="false"/>
          <w:iCs w:val="false"/>
        </w:rPr>
        <w:t xml:space="preserve">This is a notable inversion of the expected error signal: batches that appeared to fail (requiring intervention) were the reliable ones, while batches that completed without incident were silently fabricating decisions against nonexistent keys. Gemini Flash was excluded from the Pass 2 reliability analysis; the non-SSRN validation is reported as a two-rater design (Claude, ChatGPT) rather than three, with this exclusion documented as a limitation of the cross-model approach rather than omitted silently.</w:t>
      </w:r>
    </w:p>
    <w:p>
      <w:pPr>
        <w:spacing w:after="240"/>
      </w:pPr>
      <w:r>
        <w:rPr>
          <w:i/>
          <w:iCs/>
          <w:color w:val="555555"/>
          <w:sz w:val="18"/>
          <w:szCs w:val="18"/>
        </w:rPr>
        <w:t xml:space="preserve">Source: "Scaling human oversight of code generation" session, 2026-06-07.</w:t>
      </w:r>
    </w:p>
    <w:p>
      <w:pPr>
        <w:pStyle w:val="Heading1"/>
        <w:spacing w:after="160" w:before="320"/>
      </w:pPr>
      <w:r>
        <w:t xml:space="preserve">6. Limitations and Open Item</w:t>
      </w:r>
    </w:p>
    <w:p>
      <w:pPr>
        <w:spacing w:after="160"/>
      </w:pPr>
      <w:r>
        <w:rPr>
          <w:b w:val="false"/>
          <w:bCs w:val="false"/>
          <w:i w:val="false"/>
          <w:iCs w:val="false"/>
        </w:rPr>
        <w:t xml:space="preserve">The blinded Methodology Validation sample (N = 100, random, seed = 42, no stratification — the sample intended to produce the citable population-level κ for this chapter) had not been confirmed complete as of this draft. The Trust Check κ (0.79) reported in §4 is a gating statistic on a stratified sample and should not be substituted for the blinded validation κ in the final reliability statement, per the rationale in §1. This section should be updated with P₀, κ (with confidence interval and Landis &amp; Koch label), per-category agreement, confidence-stratified agreement, and a full confusion matrix once that sample is coded.</w:t>
      </w:r>
    </w:p>
    <w:p>
      <w:pPr>
        <w:spacing w:after="160"/>
      </w:pPr>
      <w:r>
        <w:rPr>
          <w:b w:val="false"/>
          <w:bCs w:val="false"/>
          <w:i w:val="false"/>
          <w:iCs w:val="false"/>
        </w:rPr>
        <w:t xml:space="preserve">Drop-in template pending final numbers:</w:t>
      </w:r>
    </w:p>
    <w:p>
      <w:pPr>
        <w:spacing w:after="240"/>
        <w:ind w:left="720"/>
      </w:pPr>
      <w:r>
        <w:rPr>
          <w:i/>
          <w:iCs/>
        </w:rPr>
        <w:t xml:space="preserve">“Pass 2 screening decisions were validated via an independent blinded sample of 100 items drawn at random (seed=42, no stratification) from the 3,954-item Pass 2 corpus. The sample preserved the population distribution of decisions (~N% keep / N% maybe / N% discard). The author independently re-coded each item using only its title and abstract, with the AI's decision withheld until coding was complete. Agreement against the AI's decisions was P₀=0.NNN, Cohen's κ=0.NN (NN% CI: [a, b]), constituting [substantial / almost perfect] agreement by Landis &amp; Koch (1977) thresholds.”</w:t>
      </w:r>
    </w:p>
    <w:p>
      <w:pPr>
        <w:pStyle w:val="Heading1"/>
        <w:spacing w:after="160" w:before="320"/>
      </w:pPr>
      <w:r>
        <w:t xml:space="preserve">7. AI-Use Disclosure (Draft)</w:t>
      </w:r>
    </w:p>
    <w:p>
      <w:pPr>
        <w:spacing w:after="160"/>
      </w:pPr>
      <w:r>
        <w:rPr>
          <w:b w:val="false"/>
          <w:bCs w:val="false"/>
          <w:i w:val="false"/>
          <w:iCs w:val="false"/>
        </w:rPr>
        <w:t xml:space="preserve">Claude (Anthropic) served as the primary screening tool for Pass 1 and Pass 2 title/abstract review, operating against pre-defined inclusion/exclusion criteria under human ground-truth oversight. ChatGPT (OpenAI) and Gemini (Google) were used as secondary validation tools; Gemini's outputs were found unreliable for this task (§5) and were excluded from reliability reporting rather than incorporated uncritically. In all cases, classification judgment — inclusion/exclusion decisions, quality appraisal, and interpretation — remained the human reviewer's, consistent with the single-coder protocol described in §2.1.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2026-07-07T01:07:02.866Z</dcterms:created>
  <dcterms:modified xsi:type="dcterms:W3CDTF">2026-07-07T01:07:02.866Z</dcterms:modified>
</cp:coreProperties>
</file>

<file path=docProps/custom.xml><?xml version="1.0" encoding="utf-8"?>
<Properties xmlns="http://schemas.openxmlformats.org/officeDocument/2006/custom-properties" xmlns:vt="http://schemas.openxmlformats.org/officeDocument/2006/docPropsVTypes"/>
</file>