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0</wp:posOffset>
            </wp:positionV>
            <wp:extent cx="7315200" cy="1428750"/>
            <wp:effectExtent b="0" l="0" r="0" t="0"/>
            <wp:wrapNone/>
            <wp:docPr descr="D:\CS Data office\Circular &amp; Submitted\template for dept\fwdimportantcircularcommontemplates\vvce header updated CSE.jpg" id="1" name="image1.png"/>
            <a:graphic>
              <a:graphicData uri="http://schemas.openxmlformats.org/drawingml/2006/picture">
                <pic:pic>
                  <pic:nvPicPr>
                    <pic:cNvPr descr="D:\CS Data office\Circular &amp; Submitted\template for dept\fwdimportantcircularcommontemplates\vvce header updated CSE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November 2022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Open Source Lab Main Website renewal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a website for the club namely oslvvce.com which is maintained by the alumni as well as the current members, the website hosting services charge on a three year basis which is expiring this month end. Hence we request you to please reimburse the service charges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kindly consider the above request and give permission to utilize the department association fund (TECSA).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Estimated expenditure is as given below.</w:t>
      </w:r>
    </w:p>
    <w:tbl>
      <w:tblPr>
        <w:tblStyle w:val="Table1"/>
        <w:tblW w:w="89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3634"/>
        <w:gridCol w:w="4525"/>
        <w:tblGridChange w:id="0">
          <w:tblGrid>
            <w:gridCol w:w="825"/>
            <w:gridCol w:w="3634"/>
            <w:gridCol w:w="4525"/>
          </w:tblGrid>
        </w:tblGridChange>
      </w:tblGrid>
      <w:tr>
        <w:trPr>
          <w:cantSplit w:val="0"/>
          <w:trHeight w:val="16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Expenditure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(Rs.)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NameCheap Domain 3 Years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3700/-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3700/-</w:t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  <w:tab/>
        <w:tab/>
        <w:tab/>
        <w:tab/>
        <w:t xml:space="preserve">(Three Thousand Seven Hundred Rupees only)</w:t>
      </w:r>
    </w:p>
    <w:p w:rsidR="00000000" w:rsidDel="00000000" w:rsidP="00000000" w:rsidRDefault="00000000" w:rsidRPr="00000000" w14:paraId="0000001D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Approval Committee</w:t>
      </w:r>
    </w:p>
    <w:tbl>
      <w:tblPr>
        <w:tblStyle w:val="Table2"/>
        <w:tblW w:w="9220.0" w:type="dxa"/>
        <w:jc w:val="left"/>
        <w:tblInd w:w="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0"/>
        <w:gridCol w:w="1965"/>
        <w:gridCol w:w="3195"/>
        <w:gridCol w:w="1410"/>
        <w:tblGridChange w:id="0">
          <w:tblGrid>
            <w:gridCol w:w="2650"/>
            <w:gridCol w:w="1965"/>
            <w:gridCol w:w="3195"/>
            <w:gridCol w:w="1410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Disapproved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disapproval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Radhika A 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Shraddha C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Paramesha K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Janahvi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Coordinators</w:t>
        <w:tab/>
        <w:t xml:space="preserve">                                                                                              Dr. Pooja M R</w:t>
        <w:tab/>
        <w:t xml:space="preserve"> </w:t>
      </w:r>
    </w:p>
    <w:p w:rsidR="00000000" w:rsidDel="00000000" w:rsidP="00000000" w:rsidRDefault="00000000" w:rsidRPr="00000000" w14:paraId="00000036">
      <w:pPr>
        <w:spacing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Chethana H T</w:t>
        <w:tab/>
        <w:tab/>
        <w:tab/>
        <w:tab/>
        <w:tab/>
        <w:tab/>
        <w:tab/>
        <w:t xml:space="preserve">               HOD, CSE</w:t>
      </w:r>
    </w:p>
    <w:p w:rsidR="00000000" w:rsidDel="00000000" w:rsidP="00000000" w:rsidRDefault="00000000" w:rsidRPr="00000000" w14:paraId="00000037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Vision</w:t>
      </w:r>
      <w:r w:rsidDel="00000000" w:rsidR="00000000" w:rsidRPr="00000000">
        <w:rPr>
          <w:rFonts w:ascii="Bodoni" w:cs="Bodoni" w:eastAsia="Bodoni" w:hAnsi="Bodoni"/>
          <w:b w:val="1"/>
          <w:rtl w:val="0"/>
        </w:rPr>
        <w:t xml:space="preserve">:</w:t>
      </w:r>
      <w:r w:rsidDel="00000000" w:rsidR="00000000" w:rsidRPr="00000000">
        <w:rPr>
          <w:rFonts w:ascii="Bodoni" w:cs="Bodoni" w:eastAsia="Bodoni" w:hAnsi="Bodoni"/>
          <w:rtl w:val="0"/>
        </w:rPr>
        <w:t xml:space="preserve"> The Department of Computer Science and Engineering shall create professionally competent and socially responsible engineers capable of working in global environment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15" w:top="450" w:left="72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