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0x0000000000001ff3684f28c67538d4d072c22734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2026-01-18T13:30:36.776Z</w:t>
      </w:r>
    </w:p>
    <w:p>
      <w:r>
        <w:t xml:space="preserve">AI Narrative</w:t>
      </w:r>
    </w:p>
    <w:p>
      <w:r>
        <w:t xml:space="preserve">Address 0x0000000000001ff3684f28c67538d4d072c22734 Analysis:
- Multi-chain activity: Active on Ethereum (19 tx), Polygon (1 tx), Arbitrum (1 tx), Optimism (1 tx), Base (14 tx), Sepolia (1 tx), and Avalanche-Fuji (0 tx but marked active).
- No transactions on BSC despite being active=false there.
- No token holdings or transfers detected.
- No alerts or flags raised by monitoring systems.
- Transaction counts are low to moderate, with Ethereum and Base chains showing the most activity.
- Activity spread across multiple Layer 2 and testnet chains (Sepolia, Avalanche-Fuji) suggests testing or multi-chain operations.
- No signs of manipulation, wash trading, or suspicious patterns based on available data.
- The absence of alerts and token activity reduces immediate compliance concerns.
Summary: The address demonstrates legitimate multi-chain usage without red flags or alerts. Continued monitoring recommended due to cross-chain activity but no current evidence of manipulation or illicit behavior.</w:t>
      </w:r>
    </w:p>
    <w:p>
      <w:r>
        <w:t xml:space="preserve">SAR Summary</w:t>
      </w:r>
    </w:p>
    <w:p>
      <w:r>
        <w:t xml:space="preserve">Entity: Address 0x0000000000001ff3684f28c67538d4d072c22734  
Key Behavior: Multi-chain activity with transactions on Ethereum (19), Base (14), Polygon (1), Arbitrum (1), Optimism (1), Sepolia (1), and inactive on BSC and Avalanche-Fuji. No token holdings or transfers detected.  
Risk Rationale: Low risk with a RiskScore of 20; no alerts or suspicious patterns identified. Activity appears consistent with testing or legitimate multi-chain operations.  
Chain Footprint: Active primarily on Ethereum and Base chains; also active on several Layer 2 and testnet chains (Sepolia, Avalanche-Fuji). No activity on Binance Smart Chain despite being marked inactive.  
Suggested Compliance Action: No immediate action required. Recommend continued routine monitoring due to multi-chain presence to detect any future anomalous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19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30000000000000000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2026-01-18T13:30:43.828Z</dcterms:created>
  <dcterms:modified xsi:type="dcterms:W3CDTF">2026-01-18T13:30:43.829Z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