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0x019d0706d65c4768ec8081ed7ce41f59eef9b86c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2026-01-18T13:31:13.861Z</w:t>
      </w:r>
    </w:p>
    <w:p>
      <w:r>
        <w:t xml:space="preserve">AI Narrative</w:t>
      </w:r>
    </w:p>
    <w:p>
      <w:r>
        <w:t xml:space="preserve">Address 0x019d0706d65c4768ec8081ed7ce41f59eef9b86c Analysis:
- Multi-chain Presence: Active on Ethereum (no transactions), Polygon (3,276,956 transactions), Base, and Sepolia testnet; inactive on BSC, Arbitrum, Optimism, Avalanche Fuji.
- Polygon Activity: Extremely high transaction count (3.27 million+), indicating heavy usage or automated activity.
- Ethereum and other mainnets show no transaction history, suggesting primary operational focus on Polygon.
- No token holdings or transfers detected.
- No alerts or flags raised by monitoring systems.
- Potential Red Flags:
  • Unusually high transaction volume on Polygon may indicate bot activity, wash trading, or manipulation.
  • Lack of activity on other major chains despite being active suggests possible network-specific operations or testing.
- No direct evidence of illicit behavior, but the high Polygon tx count warrants further behavioral and counterparty analysis to rule out manipulation or spam.</w:t>
      </w:r>
    </w:p>
    <w:p>
      <w:r>
        <w:t xml:space="preserve">SAR Summary</w:t>
      </w:r>
    </w:p>
    <w:p>
      <w:r>
        <w:t xml:space="preserve">Entity: Address 0x019d0706d65c4768ec8081ed7ce41f59eef9b86c  
Key Behavior: Exhibits extremely high transaction volume on Polygon chain (3,276,956 txs), with active presence on Base and Sepolia testnets; no transactions on Ethereum mainnet or other major chains; no token holdings or transfers detected.  
Risk Rationale: The unusually high Polygon transaction count suggests potential automated bot activity, wash trading, or market manipulation. Absence of activity on other mainnets may indicate network-specific operations or testing environments. No direct illicit activity detected, but the volume and pattern warrant further scrutiny.  
Chain Footprint: Active on Polygon (high tx volume), Base and Sepolia testnets; inactive on Ethereum mainnet, BSC, Arbitrum, Optimism, Avalanche Fuji.  
Suggested Compliance Action: Conduct enhanced behavioral analysis focusing on transaction patterns and counterparties on Polygon; monitor for signs of market manipulation or spam; maintain watchlist status for potential future alerts; no immediate SAR/STR filing required given current cleared status but recommend periodic review.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5123456789000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3276956</w:t>
            </w:r>
          </w:p>
        </w:tc>
        <w:tc>
          <w:p>
            <w:r>
              <w:t xml:space="preserve">2243345337077104067070635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30000000000000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10000200000000000000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2026-01-18T13:31:17.793Z</dcterms:created>
  <dcterms:modified xsi:type="dcterms:W3CDTF">2026-01-18T13:31:17.793Z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