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0x0f5621f9ff43c6dbd306b0e1e8f4dfff3ec34c2d</w:t>
      </w:r>
    </w:p>
    <w:p>
      <w:r>
        <w:t xml:space="preserve">Token: n/a</w:t>
      </w:r>
    </w:p>
    <w:p>
      <w:r>
        <w:t xml:space="preserve">Risk Score: 20</w:t>
      </w:r>
    </w:p>
    <w:p>
      <w:r>
        <w:t xml:space="preserve">Generated: 2026-01-18T13:53:20.572Z</w:t>
      </w:r>
    </w:p>
    <w:p>
      <w:r>
        <w:t xml:space="preserve">AI Narrative</w:t>
      </w:r>
    </w:p>
    <w:p>
      <w:r>
        <w:t xml:space="preserve">Address 0x0f5621f9ff43c6dbd306b0e1e8f4dfff3ec34c2d Analysis:
- Chain Activity:
  - Exclusively active on Base chain with 35,478 transactions.
  - No activity on major chains like Ethereum, Polygon, BSC, Arbitrum, Optimism, Avalanche Fuji, or Sepolia.
- Token Interaction:
  - No specific token associated or transferred.
- Alerts:
  - No alerts or flags raised by monitoring systems.
- Red Flags / Manipulation Indicators:
  - High transaction volume solely on Base chain may indicate concentrated activity or automated behavior.
  - Lack of cross-chain activity could suggest isolated operations or attempts to avoid scrutiny on more monitored chains.
  - Absence of alerts reduces immediate suspicion but does not preclude manual review.
Summary:
The address is highly active exclusively on the Base chain with a significant number of transactions but shows no activity elsewhere. No direct alerts or token transfers are noted. The concentrated activity pattern warrants monitoring for potential automated or manipulative behavior, though no explicit red flags are currently detected.</w:t>
      </w:r>
    </w:p>
    <w:p>
      <w:r>
        <w:t xml:space="preserve">SAR Summary</w:t>
      </w:r>
    </w:p>
    <w:p>
      <w:r>
        <w:t xml:space="preserve">Entity: Address 0x0f5621f9ff43c6dbd306b0e1e8f4dfff3ec34c2d  
Key Behavior: Exclusively active on the Base blockchain with 35,478 transactions; no activity on Ethereum, Polygon, BSC, Arbitrum, Optimism, Avalanche Fuji, or Sepolia chains; no token transfers or alerts detected.  
Risk Rationale: High-volume, single-chain activity may indicate automated or manipulative behavior; absence of cross-chain transactions could suggest attempts to limit exposure or scrutiny; no immediate alerts but pattern merits caution.  
Chain Footprint: Solely active on Base chain; inactive on all other major monitored chains.  
Suggested Compliance Action: Continue monitoring transaction patterns on Base chain for signs of manipulation or illicit activity; consider manual review if unusual transaction types or counterparties emerge; maintain watchlist status despite current clearance.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35478</w:t>
            </w:r>
          </w:p>
        </w:tc>
        <w:tc>
          <w:p>
            <w:r>
              <w:t xml:space="preserve">5083016013423798</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2026-01-18T13:53:24.072Z</dcterms:created>
  <dcterms:modified xsi:type="dcterms:W3CDTF">2026-01-18T13:53:24.072Z</dcterms:modified>
</cp:coreProperties>
</file>

<file path=docProps/custom.xml><?xml version="1.0" encoding="utf-8"?>
<Properties xmlns="http://schemas.openxmlformats.org/officeDocument/2006/custom-properties" xmlns:vt="http://schemas.openxmlformats.org/officeDocument/2006/docPropsVTypes"/>
</file>