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0x28de18a27db6edccc01b8eaf0fd9de478a896fc6</w:t>
      </w:r>
    </w:p>
    <w:p>
      <w:r>
        <w:t xml:space="preserve">Token: n/a</w:t>
      </w:r>
    </w:p>
    <w:p>
      <w:r>
        <w:t xml:space="preserve">Risk Score: 20</w:t>
      </w:r>
    </w:p>
    <w:p>
      <w:r>
        <w:t xml:space="preserve">Generated: 2026-01-18T13:50:58.088Z</w:t>
      </w:r>
    </w:p>
    <w:p>
      <w:r>
        <w:t xml:space="preserve">AI Narrative</w:t>
      </w:r>
    </w:p>
    <w:p>
      <w:r>
        <w:t xml:space="preserve">Address 0x28de18a27db6edccc01b8eaf0fd9de478a896fc6 Analysis:
- Chain Activity:
  - Active only on Base chain with 169 transactions.
  - No activity on Ethereum, Polygon, BSC, Arbitrum, Optimism, Avalanche-Fuji, or Sepolia.
- Token Interaction:
  - No specific token involvement detected.
- Alerts:
  - No alerts or flags raised by monitoring systems.
- Red Flags/Manipulation Indicators:
  - Concentrated activity solely on Base chain may indicate niche or isolated operations.
  - Absence of cross-chain transactions reduces complexity but limits exposure.
  - No suspicious patterns or alerts detected in transaction history.
Summary: The address is active exclusively on the Base chain with moderate transaction volume and no detected suspicious activity or alerts. No immediate signs of manipulation or compliance risk are present based on available data.</w:t>
      </w:r>
    </w:p>
    <w:p>
      <w:r>
        <w:t xml:space="preserve">SAR Summary</w:t>
      </w:r>
    </w:p>
    <w:p>
      <w:r>
        <w:t xml:space="preserve">Entity: Address 0x28de18a27db6edccc01b8eaf0fd9de478a896fc6  
Key Behavior: Exclusively active on the Base blockchain with 169 transactions; no activity on other major chains (Ethereum, Polygon, BSC, Arbitrum, Optimism, Avalanche-Fuji, Sepolia). No token transfers or interactions detected.  
Risk Rationale: The address shows a moderate volume of on-chain activity confined to a single chain, with no alerts or suspicious patterns identified. The lack of cross-chain transactions reduces complexity and potential exposure to multi-chain risks. No red flags or manipulation indicators are present.  
Chain Footprint: Solely active on Base chain; inactive on all other monitored chains.  
Suggested Compliance Action: No immediate compliance concerns. Continue routine monitoring for any future changes in activity patterns or alerts. No SAR/STR filing recommended at this time.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169</w:t>
            </w:r>
          </w:p>
        </w:tc>
        <w:tc>
          <w:p>
            <w:r>
              <w:t xml:space="preserve">6347375410737203</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2026-01-18T13:51:01.872Z</dcterms:created>
  <dcterms:modified xsi:type="dcterms:W3CDTF">2026-01-18T13:51:01.872Z</dcterms:modified>
</cp:coreProperties>
</file>

<file path=docProps/custom.xml><?xml version="1.0" encoding="utf-8"?>
<Properties xmlns="http://schemas.openxmlformats.org/officeDocument/2006/custom-properties" xmlns:vt="http://schemas.openxmlformats.org/officeDocument/2006/docPropsVTypes"/>
</file>