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0x52a1d8f762b3c4578912e6b4c3e8f9012a9d8e7b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2026-01-18T13:35:17.137Z</w:t>
      </w:r>
    </w:p>
    <w:p>
      <w:r>
        <w:t xml:space="preserve">AI Narrative</w:t>
      </w:r>
    </w:p>
    <w:p>
      <w:r>
        <w:t xml:space="preserve">- Address 0x52a1d8f762b3c4578912e6b4c3e8f9012a9d8e7b shows zero transaction activity across all major chains analyzed (Ethereum, Polygon, BSC, Arbitrum, Optimism, Base, Avalanche Fuji, Sepolia).
- No tokens associated or transferred by this address.
- No alerts or flags detected indicating suspicious behavior or manipulation.
- The address appears dormant or newly created with no on-chain footprint.
- No evidence of involvement in scams, laundering, or other illicit activities based on available data.</w:t>
      </w:r>
    </w:p>
    <w:p>
      <w:r>
        <w:t xml:space="preserve">SAR Summary</w:t>
      </w:r>
    </w:p>
    <w:p>
      <w:r>
        <w:t xml:space="preserve">Entity: Address 0x52a1d8f762b3c4578912e6b4c3e8f9012a9d8e7b  
Key Behavior: No transaction activity or token associations across all major analyzed blockchains (Ethereum, Polygon, BSC, Arbitrum, Optimism, Base, Avalanche Fuji, Sepolia).  
Risk Rationale: The address is dormant or newly created with no on-chain footprint, showing no signs of suspicious or illicit behavior.  
Chain Footprint: Zero transactions and inactive status on all monitored chains; no alerts or flags detected.  
Suggested Compliance Action: No immediate action required; maintain monitoring for any future activity or changes in risk profile.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2026-01-18T13:35:20.904Z</dcterms:created>
  <dcterms:modified xsi:type="dcterms:W3CDTF">2026-01-18T13:35:20.904Z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