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0x5fca21ad006c43a8c0f95b4b2fdfbfa14c10e7c0</w:t>
      </w:r>
    </w:p>
    <w:p>
      <w:r>
        <w:t xml:space="preserve">Token: n/a</w:t>
      </w:r>
    </w:p>
    <w:p>
      <w:r>
        <w:t xml:space="preserve">Risk Score: 20</w:t>
      </w:r>
    </w:p>
    <w:p>
      <w:r>
        <w:t xml:space="preserve">Generated: 2026-01-18T13:52:58.274Z</w:t>
      </w:r>
    </w:p>
    <w:p>
      <w:r>
        <w:t xml:space="preserve">AI Narrative</w:t>
      </w:r>
    </w:p>
    <w:p>
      <w:r>
        <w:t xml:space="preserve">Address 0x5fca21ad006c43a8c0f95b4b2fdfbfa14c10e7c0 shows the following profile:
- Activity confined exclusively to the Base chain with 21 transactions; no activity on Ethereum, Polygon, BSC, Arbitrum, Optimism, Avalanche Fuji, or Sepolia.
- No tokens associated or transferred.
- No alerts or flags raised for suspicious or manipulative behavior.
- The address appears active but limited in scope, suggesting either a new or niche user/entity focused solely on Base chain operations.
- Absence of cross-chain activity reduces complexity but also limits exposure to common manipulation vectors like layering or wash trading across chains.
No red flags or indications of manipulation detected based on current data. Continued monitoring recommended if activity volume or patterns change.</w:t>
      </w:r>
    </w:p>
    <w:p>
      <w:r>
        <w:t xml:space="preserve">SAR Summary</w:t>
      </w:r>
    </w:p>
    <w:p>
      <w:r>
        <w:t xml:space="preserve">Entity: Address 0x5fca21ad006c43a8c0f95b4b2fdfbfa14c10e7c0  
Key Behavior: Exclusively active on the Base blockchain with 21 transactions; no token holdings or transfers; inactive on major chains including Ethereum, Polygon, BSC, Arbitrum, Optimism, Avalanche Fuji, and Sepolia.  
Risk Rationale: Low risk profile due to absence of suspicious alerts, no cross-chain activity, and limited transaction volume. The focused activity suggests a niche or new user without exposure to common manipulation tactics such as layering or wash trading.  
Chain Footprint: Solely on Base chain; zero activity on other monitored chains.  
Suggested Compliance Action: No immediate action required; maintain routine surveillance for changes in transaction patterns or volume that could indicate emerging risks.</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21</w:t>
            </w:r>
          </w:p>
        </w:tc>
        <w:tc>
          <w:p>
            <w:r>
              <w:t xml:space="preserve">205544963299757634</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2026-01-18T13:53:01.627Z</dcterms:created>
  <dcterms:modified xsi:type="dcterms:W3CDTF">2026-01-18T13:53:01.627Z</dcterms:modified>
</cp:coreProperties>
</file>

<file path=docProps/custom.xml><?xml version="1.0" encoding="utf-8"?>
<Properties xmlns="http://schemas.openxmlformats.org/officeDocument/2006/custom-properties" xmlns:vt="http://schemas.openxmlformats.org/officeDocument/2006/docPropsVTypes"/>
</file>