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0x6131b5fae19ea4f9d964eac0408e4408b66337b5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2026-01-18T13:29:39.075Z</w:t>
      </w:r>
    </w:p>
    <w:p>
      <w:r>
        <w:t xml:space="preserve">AI Narrative</w:t>
      </w:r>
    </w:p>
    <w:p>
      <w:r>
        <w:t xml:space="preserve">Address 0x6131b5fae19ea4f9d964eac0408e4408b66337b5 Analysis:
- Multi-chain Activity: Active on Ethereum (3 tx), Polygon (1 tx), Arbitrum (1 tx), Optimism (1 tx), Base (6 tx), and Sepolia testnet; inactive on BSC and Avalanche Fuji.
- Transaction Volume: Low to moderate across chains, with highest activity on Base chain (6 tx).
- No detected alerts or flagged behavior.
- No associated token contracts or suspicious token transfers.
- Activity on multiple Layer 2 and test networks suggests experimentation or cross-chain operations.
- No signs of manipulation, wash trading, or known scam patterns.
- Lack of alerts and low transaction count reduce suspicion but continued monitoring advised.
Summary: The address shows diversified but low-volume multi-chain activity without red flags or alerts. No evidence of manipulation or illicit behavior detected at this time.</w:t>
      </w:r>
    </w:p>
    <w:p>
      <w:r>
        <w:t xml:space="preserve">SAR Summary</w:t>
      </w:r>
    </w:p>
    <w:p>
      <w:r>
        <w:t xml:space="preserve">Entity: Address 0x6131b5fae19ea4f9d964eac0408e4408b66337b5  
Key Behavior: Low to moderate multi-chain transaction activity across Ethereum (3 tx), Polygon (1 tx), Arbitrum (1 tx), Optimism (1 tx), Base (6 tx), and Sepolia testnet; inactive on BSC and Avalanche Fuji. No associated token contracts or suspicious transfers detected.  
Risk Rationale: No alerts or flagged behaviors identified; absence of manipulation, wash trading, or scam indicators. Activity pattern suggests experimentation or legitimate cross-chain operations.  
Chain Footprint: Active on multiple Layer 1 and Layer 2 networks and testnets, with highest transaction count on Base chain.  
Suggested Compliance Action: No immediate action required; maintain routine monitoring for any emerging suspicious activity given ongoing multi-chain engagement.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134889041711191672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139205559824046872629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7540936880389787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11809528748639167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168856473505359079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1178428854667856242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2026-01-18T13:29:42.640Z</dcterms:created>
  <dcterms:modified xsi:type="dcterms:W3CDTF">2026-01-18T13:29:42.640Z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