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0x6131b5fae19ea4f9d964eac0408e4408b66337b5</w:t>
      </w:r>
    </w:p>
    <w:p>
      <w:r>
        <w:t xml:space="preserve">Token: n/a</w:t>
      </w:r>
    </w:p>
    <w:p>
      <w:r>
        <w:t xml:space="preserve">Risk Score: 20</w:t>
      </w:r>
    </w:p>
    <w:p>
      <w:r>
        <w:t xml:space="preserve">Generated: 2026-01-18T13:39:31.413Z</w:t>
      </w:r>
    </w:p>
    <w:p>
      <w:r>
        <w:t xml:space="preserve">AI Narrative</w:t>
      </w:r>
    </w:p>
    <w:p>
      <w:r>
        <w:t xml:space="preserve">Address 0x6131b5fae19ea4f9d964eac0408e4408b66337b5 exhibits multi-chain activity with transactions on Ethereum (5 tx), Arbitrum (1 tx), Optimism (1 tx), Base (5 tx), and Sepolia (0 tx but marked active). No activity on Polygon, BSC, Avalanche-Fuji.
Key observations:
- Multi-chain presence suggests diversification or attempts to leverage different ecosystems.
- No alerts or flagged suspicious activity detected.
- Relatively low transaction count across chains; no high-frequency or burst patterns.
- Active on testnet Sepolia with zero transactions, possibly monitoring or preparing activity.
- Absence of token transfers or token-related activity limits insight into asset movement or manipulation.
No immediate red flags or manipulation indicators. Continued monitoring recommended due to multi-chain footprint.</w:t>
      </w:r>
    </w:p>
    <w:p>
      <w:r>
        <w:t xml:space="preserve">SAR Summary</w:t>
      </w:r>
    </w:p>
    <w:p>
      <w:r>
        <w:t xml:space="preserve">Entity: Address 0x6131b5fae19ea4f9d964eac0408e4408b66337b5  
Key Behavior: Engages in low-frequency multi-chain transactions across Ethereum (5 tx), Arbitrum (1 tx), Optimism (1 tx), Base (5 tx), and Sepolia (active but no tx). No token transfers detected.  
Risk Rationale: The address demonstrates diversification across multiple chains without suspicious transaction patterns or alerts. Absence of token activity limits assessment of asset flows. Activity on Sepolia testnet with no transactions may indicate preparatory monitoring.  
Chain Footprint: Active on Ethereum, Arbitrum, Optimism, Base, and Sepolia; inactive on Polygon, BSC, Avalanche-Fuji. Total of 12 transactions recorded.  
Suggested Compliance Action: No immediate action required; maintain routine surveillance to detect any emerging suspicious behavior given the multi-chain presence.</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Yes</w:t>
            </w:r>
          </w:p>
        </w:tc>
        <w:tc>
          <w:p>
            <w:r>
              <w:t xml:space="preserve">5</w:t>
            </w:r>
          </w:p>
        </w:tc>
        <w:tc>
          <w:p>
            <w:r>
              <w:t xml:space="preserve">134889041711191672</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Yes</w:t>
            </w:r>
          </w:p>
        </w:tc>
        <w:tc>
          <w:p>
            <w:r>
              <w:t xml:space="preserve">1</w:t>
            </w:r>
          </w:p>
        </w:tc>
        <w:tc>
          <w:p>
            <w:r>
              <w:t xml:space="preserve">7540936880389787</w:t>
            </w:r>
          </w:p>
        </w:tc>
      </w:tr>
      <w:tr>
        <w:tc>
          <w:p>
            <w:r>
              <w:t xml:space="preserve">optimism</w:t>
            </w:r>
          </w:p>
        </w:tc>
        <w:tc>
          <w:p>
            <w:r>
              <w:t xml:space="preserve">Yes</w:t>
            </w:r>
          </w:p>
        </w:tc>
        <w:tc>
          <w:p>
            <w:r>
              <w:t xml:space="preserve">1</w:t>
            </w:r>
          </w:p>
        </w:tc>
        <w:tc>
          <w:p>
            <w:r>
              <w:t xml:space="preserve">11809528748639167</w:t>
            </w:r>
          </w:p>
        </w:tc>
      </w:tr>
      <w:tr>
        <w:tc>
          <w:p>
            <w:r>
              <w:t xml:space="preserve">base</w:t>
            </w:r>
          </w:p>
        </w:tc>
        <w:tc>
          <w:p>
            <w:r>
              <w:t xml:space="preserve">Yes</w:t>
            </w:r>
          </w:p>
        </w:tc>
        <w:tc>
          <w:p>
            <w:r>
              <w:t xml:space="preserve">5</w:t>
            </w:r>
          </w:p>
        </w:tc>
        <w:tc>
          <w:p>
            <w:r>
              <w:t xml:space="preserve">168856473505359079</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Yes</w:t>
            </w:r>
          </w:p>
        </w:tc>
        <w:tc>
          <w:p>
            <w:r>
              <w:t xml:space="preserve">0</w:t>
            </w:r>
          </w:p>
        </w:tc>
        <w:tc>
          <w:p>
            <w:r>
              <w:t xml:space="preserve">1178428854667856242</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2026-01-18T13:39:34.854Z</dcterms:created>
  <dcterms:modified xsi:type="dcterms:W3CDTF">2026-01-18T13:39:34.854Z</dcterms:modified>
</cp:coreProperties>
</file>

<file path=docProps/custom.xml><?xml version="1.0" encoding="utf-8"?>
<Properties xmlns="http://schemas.openxmlformats.org/officeDocument/2006/custom-properties" xmlns:vt="http://schemas.openxmlformats.org/officeDocument/2006/docPropsVTypes"/>
</file>