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0x6a000f20005980200259b80c5102003040001068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2026-01-18T13:15:36.695Z</w:t>
      </w:r>
    </w:p>
    <w:p>
      <w:r>
        <w:t xml:space="preserve">AI Narrative</w:t>
      </w:r>
    </w:p>
    <w:p>
      <w:r>
        <w:t xml:space="preserve">Address 0x6a000f20005980200259b80c5102003040001068 Analysis:
- Multi-chain Activity: Active on Ethereum (3 tx), Polygon (1 tx), Arbitrum (1 tx), Optimism (1 tx), Base (1 tx), and Sepolia (1 tx). No activity on BSC and Avalanche-Fuji despite being marked active on Fuji.
- Transaction Volume: Low transaction count across chains, indicating limited on-chain activity.
- No Token Transfers: No associated token activity detected, suggesting address may be used for non-token interactions or testing.
- Alerts: No alerts or flags raised by monitoring systems.
- Red Flags: 
  - Discrepancy in Avalanche-Fuji (active=true but tx=0) may indicate mislabeling or monitoring error.
  - Sparse activity across multiple chains could be consistent with testing or low-profile operations, but no direct signs of manipulation or illicit behavior.
Conclusion: The address shows low-level multi-chain activity without any alerts or suspicious patterns. No immediate compliance concerns or manipulation indicators detected.</w:t>
      </w:r>
    </w:p>
    <w:p>
      <w:r>
        <w:t xml:space="preserve">SAR Summary</w:t>
      </w:r>
    </w:p>
    <w:p>
      <w:r>
        <w:t xml:space="preserve">Entity: Address 0x6a000f20005980200259b80c5102003040001068  
Key Behavior: Low-volume multi-chain activity with transactions on Ethereum (3), Polygon (1), Arbitrum (1), Optimism (1), Base (1), and Sepolia (1); no token transfers detected.  
Risk Rationale: Sparse activity and absence of token transfers suggest non-token interactions or testing purposes; no alerts or suspicious patterns identified. Notable discrepancy in Avalanche-Fuji chain status (active=true but zero transactions) may indicate monitoring error.  
Chain Footprint: Active on six chains (Ethereum, Polygon, Arbitrum, Optimism, Base, Sepolia); inactive or no transactions on Binance Smart Chain and Avalanche-Fuji despite flagged activity.  
Suggested Compliance Action: Maintain monitoring with no immediate escalation; verify Avalanche-Fuji activity status for data accuracy; no current grounds for SAR/STR filing given lack of suspicious behavior or alerts.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554013208389979686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10300000000000000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2026-01-18T13:15:42.586Z</dcterms:created>
  <dcterms:modified xsi:type="dcterms:W3CDTF">2026-01-18T13:15:42.586Z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