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0x6a000f20005980200259b80c5102003040001068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2026-01-18T13:29:16.453Z</w:t>
      </w:r>
    </w:p>
    <w:p>
      <w:r>
        <w:t xml:space="preserve">AI Narrative</w:t>
      </w:r>
    </w:p>
    <w:p>
      <w:r>
        <w:t xml:space="preserve">Address 0x6a000f20005980200259b80c5102003040001068 Analysis:
- Multi-chain activity: Transactions on Ethereum, Polygon, Arbitrum, Optimism, Base, and Sepolia testnet.
- No activity on BSC mainnet; Avalanche Fuji shows active status but zero transactions, indicating possible dormant or placeholder status.
- Single transaction per active chain suggests low-frequency or initial testing behavior rather than high-volume trading or laundering.
- No associated token contracts or token transfers detected.
- Absence of alerts or flagged behavior reduces immediate suspicion.
- Cross-chain presence could indicate bridging or multi-chain deployment but lacks volume or complexity to suggest manipulation.
- No signs of wash trading, layering, or typical fraud patterns detected.
Summary: The address exhibits low-frequency, multi-chain activity primarily on testnets and mainnets without suspicious volume or alerts. Current data does not indicate manipulation or illicit behavior but continued monitoring is advised due to cross-chain presence.</w:t>
      </w:r>
    </w:p>
    <w:p>
      <w:r>
        <w:t xml:space="preserve">SAR Summary</w:t>
      </w:r>
    </w:p>
    <w:p>
      <w:r>
        <w:t xml:space="preserve">Entity: Address 0x6a000f20005980200259b80c5102003040001068  
Key Behavior: Low-frequency, multi-chain transactions (Ethereum, Polygon, Arbitrum, Optimism, Base, Sepolia testnet) with single transaction per active chain; no token transfers or contract deployments.  
Risk Rationale: The address shows no suspicious volume, no alerts, and no typical fraud indicators such as wash trading or layering. Activity on multiple chains suggests possible bridging or multi-chain testing, but transaction count and complexity remain minimal. Avalanche Fuji shows active status but zero transactions, indicating potential dormancy.  
Chain Footprint: Active on Ethereum (1 tx), Polygon (1 tx), Arbitrum (1 tx), Optimism (1 tx), Base (1 tx), Sepolia testnet (1 tx); inactive on BSC mainnet and Avalanche Fuji despite active status.  
Suggested Compliance Action: No immediate action required; address is cleared with low risk score (20). Recommend continued monitoring for changes in activity patterns or volume, especially given cross-chain presence which could evolve into higher-risk behavior.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554013208389979686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10300000000000000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2026-01-18T13:29:20.236Z</dcterms:created>
  <dcterms:modified xsi:type="dcterms:W3CDTF">2026-01-18T13:29:20.236Z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