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0x6a000f20005980200259b80c5102003040001068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2026-01-18T13:39:12.078Z</w:t>
      </w:r>
    </w:p>
    <w:p>
      <w:r>
        <w:t xml:space="preserve">AI Narrative</w:t>
      </w:r>
    </w:p>
    <w:p>
      <w:r>
        <w:t xml:space="preserve">Address: 0x6a000f20005980200259b80c5102003040001068
Chain Activity Summary:
- Ethereum: 1 transaction, active
- Polygon: 0 transactions, inactive
- BSC: 0 transactions, inactive
- Arbitrum: 1 transaction, active
- Optimism: 1 transaction, active
- Base: 1 transaction, active
- Avalanche-Fuji: 0 transactions, active (note: active status despite zero txs is unusual)
- Sepolia: 1 transaction, active
Observations &amp; Red Flags:
- Multi-chain presence with minimal transactions (1 tx per active chain) suggests low activity or testing behavior.
- Active status on Avalanche-Fuji with zero transactions is inconsistent; may indicate monitoring or setup phase.
- No alerts or tokens associated reduces immediate suspicion.
- Lack of transaction volume or token transfers limits ability to assess manipulation or illicit activity.
- Cross-layer activity (Ethereum mainnet and multiple L2s) could be normal but warrants monitoring for layering or obfuscation attempts.
Conclusion:
Current activity is minimal and does not raise direct red flags. The inconsistent active status on Avalanche-Fuji and multi-chain presence should be monitored for potential layering or preparatory actions. No alerts or suspicious patterns detected at this time.</w:t>
      </w:r>
    </w:p>
    <w:p>
      <w:r>
        <w:t xml:space="preserve">SAR Summary</w:t>
      </w:r>
    </w:p>
    <w:p>
      <w:r>
        <w:t xml:space="preserve">Entity: Address 0x6a000f20005980200259b80c5102003040001068  
Key Behavior: Multi-chain activity with minimal transactions—1 tx each on Ethereum, Arbitrum, Optimism, Base, and Sepolia; zero txs but active status on Avalanche-Fuji; no token holdings or transfers.  
Risk Rationale: Low transaction volume and absence of alerts reduce immediate suspicion; however, multi-chain presence and inconsistent active status on Avalanche-Fuji may indicate preparatory or layering behavior warranting ongoing observation.  
Chain Footprint: Active on Ethereum (1 tx), Arbitrum (1 tx), Optimism (1 tx), Base (1 tx), Sepolia (1 tx), and Avalanche-Fuji (active but 0 tx); inactive on Polygon and BSC.  
Suggested Compliance Action: Maintain monitoring for increased activity or layering patterns; no immediate escalation required given current low-risk profile and absence of suspicious transactions or alerts.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554013208389979686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2026-01-18T13:39:15.394Z</dcterms:created>
  <dcterms:modified xsi:type="dcterms:W3CDTF">2026-01-18T13:39:15.394Z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