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2026-01-18T13:49:27.889Z</w:t>
      </w:r>
    </w:p>
    <w:p>
      <w:r>
        <w:t xml:space="preserve">AI Narrative</w:t>
      </w:r>
    </w:p>
    <w:p>
      <w:r>
        <w:t xml:space="preserve">Address 0x6a000f20005980200259b80c5102003040001068 Analysis:
- Multi-chain Activity: Active on Ethereum, Polygon, Arbitrum, Optimism, Base, and Sepolia testnet; no activity on BSC and Avalanche Fuji.
- Transaction Count: Single transaction on each active chain, indicating limited on-chain footprint.
- No Token Transfers: No associated token activity detected, suggesting use primarily for native coin transactions or contract interactions.
- No Alerts: No flagged suspicious behavior or compliance alerts.
- Red Flags/Manipulation: 
  - Low transaction volume across multiple chains may indicate test or staging usage rather than operational activity.
  - Presence on Sepolia testnet and Base (a newer chain) supports possible testing or development purpose.
  - No signs of layering, mixing, or known scam patterns.
Summary: The address shows minimal, spread-out activity consistent with testing or low-profile usage. Lack of alerts and token transfers reduces suspicion of manipulation or illicit use. Monitoring recommended if volume or patterns change.</w:t>
      </w:r>
    </w:p>
    <w:p>
      <w:r>
        <w:t xml:space="preserve">SAR Summary</w:t>
      </w:r>
    </w:p>
    <w:p>
      <w:r>
        <w:t xml:space="preserve">Entity: Address 0x6a000f20005980200259b80c5102003040001068  
Key Behavior: Single transaction activity on multiple chains (Ethereum, Polygon, Arbitrum, Optimism, Base, Sepolia testnet); no token transfers; inactive on BSC and Avalanche Fuji.  
Risk Rationale: Low transaction volume and multi-chain presence suggest testing or development use rather than operational or illicit activity. No alerts or suspicious patterns detected.  
Chain Footprint: Active on six chains with one transaction each; no activity on BSC and Avalanche Fuji; presence on Sepolia testnet and Base supports non-production usage.  
Suggested Compliance Action: No immediate action required; continue routine monitoring for changes in transaction volume or behavior that may indicate risk escalation.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2026-01-18T13:49:30.019Z</dcterms:created>
  <dcterms:modified xsi:type="dcterms:W3CDTF">2026-01-18T13:49:30.019Z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