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0x87c9fc9bfb3203b7bc161d67a7c759482d1a28ae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2026-01-18T13:34:10.326Z</w:t>
      </w:r>
    </w:p>
    <w:p>
      <w:r>
        <w:t xml:space="preserve">AI Narrative</w:t>
      </w:r>
    </w:p>
    <w:p>
      <w:r>
        <w:t xml:space="preserve">Address 0x87c9fc9bfb3203b7bc161d67a7c759482d1a28ae Analysis:
- Activity concentrated exclusively on Base chain with 5,459 transactions; no activity on major chains like Ethereum, Polygon, BSC, Arbitrum, or Optimism.
- No token holdings or transfers detected, indicating the address may be a contract or wallet primarily interacting with native Base chain assets or contracts.
- No alerts or flagged behavior detected, suggesting no immediate signs of manipulation, fraud, or compliance issues.
- High transaction volume on a single chain could indicate automated activity, contract interactions, or a service node; absence of cross-chain activity reduces complexity but warrants monitoring for unusual patterns.
- Lack of token activity limits exposure to common manipulation vectors such as wash trading or token pump-and-dump schemes.
Summary: The address is highly active on the Base chain only, with no red flags or alerts. The concentrated activity and absence of token transfers suggest a specialized or automated role rather than typical user behavior. No evidence of manipulation or suspicious behavior at this time.</w:t>
      </w:r>
    </w:p>
    <w:p>
      <w:r>
        <w:t xml:space="preserve">SAR Summary</w:t>
      </w:r>
    </w:p>
    <w:p>
      <w:r>
        <w:t xml:space="preserve">Entity: Address 0x87c9fc9bfb3203b7bc161d67a7c759482d1a28ae  
Key Behavior: Exclusively active on the Base blockchain with 5,459 transactions; no activity or token transfers on Ethereum, Polygon, BSC, Arbitrum, Optimism, or other chains.  
Risk Rationale: High transaction volume on a single chain suggests automated or contract-driven activity; absence of token holdings and transfers reduces exposure to common manipulation risks. No alerts or suspicious patterns detected.  
Chain Footprint: Solely active on Base chain; inactive on major chains including Ethereum, Polygon, BSC, Arbitrum, Optimism, Avalanche-Fuji, and Sepolia.  
Suggested Compliance Action: Continue routine monitoring for unusual transaction patterns or emerging risks; no immediate compliance action required given current cleared status and lack of red flags.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5459</w:t>
            </w:r>
          </w:p>
        </w:tc>
        <w:tc>
          <w:p>
            <w:r>
              <w:t xml:space="preserve">7649489370205622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2026-01-18T13:34:13.673Z</dcterms:created>
  <dcterms:modified xsi:type="dcterms:W3CDTF">2026-01-18T13:34:13.673Z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