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0x87c9fc9bfb3203b7bc161d67a7c759482d1a28ae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2026-01-18T13:46:19.375Z</w:t>
      </w:r>
    </w:p>
    <w:p>
      <w:r>
        <w:t xml:space="preserve">AI Narrative</w:t>
      </w:r>
    </w:p>
    <w:p>
      <w:r>
        <w:t xml:space="preserve">Address 0x87c9fc9bfb3203b7bc161d67a7c759482d1a28ae Analysis:
- Activity concentrated exclusively on Base chain with 5,463 transactions; no activity on major chains like Ethereum, Polygon, BSC, Arbitrum, or Optimism.
- No associated token transfers or holdings detected.
- No alerts or flags raised by monitoring systems.
- High transaction volume on a single chain could indicate specialized use or automated activity; absence on other chains reduces cross-chain risk.
- Lack of alerts suggests no known involvement in scams, hacks, or manipulative schemes.
- No immediate red flags, but the high Base chain activity warrants monitoring for potential wash trading or bot-driven behavior if linked to financial incentives.
Summary: The address is highly active solely on the Base chain without any detected suspicious behavior or token involvement. Current data shows no manipulation or compliance concerns.</w:t>
      </w:r>
    </w:p>
    <w:p>
      <w:r>
        <w:t xml:space="preserve">SAR Summary</w:t>
      </w:r>
    </w:p>
    <w:p>
      <w:r>
        <w:t xml:space="preserve">Subject: SAR/STR-Ready Summary for Address 0x87c9fc9bfb3203b7bc161d67a7c759482d1a28ae
Entity: Ethereum address 0x87c9fc9bfb3203b7bc161d67a7c759482d1a28ae  
Key Behavior: Exclusively active on Base chain with 5,463 transactions; no activity on Ethereum, Polygon, BSC, Arbitrum, Optimism, or other monitored chains. No token transfers or holdings detected.  
Risk Rationale: High transaction volume on a single chain may indicate specialized or automated activity. Absence of alerts or flags suggests no known involvement in illicit schemes. Lack of cross-chain activity reduces exposure to multi-chain risks.  
Chain Footprint: Solely active on Base chain; inactive on major chains including Ethereum, Polygon, BSC, Arbitrum, Optimism, Avalanche-Fuji, and Sepolia.  
Suggested Compliance Action: Continue routine monitoring for potential wash trading or bot-driven behavior, especially if linked to financial incentives. No immediate action required given absence of suspicious indicators.  
End of summary.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5463</w:t>
            </w:r>
          </w:p>
        </w:tc>
        <w:tc>
          <w:p>
            <w:r>
              <w:t xml:space="preserve">4658288918224832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2026-01-18T13:46:23.290Z</dcterms:created>
  <dcterms:modified xsi:type="dcterms:W3CDTF">2026-01-18T13:46:23.290Z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