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Market Manipulation Investigation</w:t>
      </w:r>
    </w:p>
    <w:p>
      <w:r>
        <w:rPr>
          <w:b/>
          <w:bCs/>
        </w:rPr>
        <w:t xml:space="preserve">Address: 0x8e23c372e3f019f4b9ebceb73ef33e00aa3edb0b</w:t>
      </w:r>
    </w:p>
    <w:p>
      <w:r>
        <w:t xml:space="preserve">Token: n/a</w:t>
      </w:r>
    </w:p>
    <w:p>
      <w:r>
        <w:t xml:space="preserve">Risk Score: 20</w:t>
      </w:r>
    </w:p>
    <w:p>
      <w:r>
        <w:t xml:space="preserve">Generated: 2026-01-18T13:52:22.809Z</w:t>
      </w:r>
    </w:p>
    <w:p>
      <w:r>
        <w:t xml:space="preserve">AI Narrative</w:t>
      </w:r>
    </w:p>
    <w:p>
      <w:r>
        <w:t xml:space="preserve">Address 0x8e23c372e3f019f4b9ebceb73ef33e00aa3edb0b Analysis:
- Activity confined exclusively to Base chain with 3,578 transactions; no activity on major chains like Ethereum, Polygon, BSC, Arbitrum, or Optimism.
- No tokens associated or transferred, indicating possible use as a contract or service address rather than a user wallet.
- No alerts or flags detected, suggesting no known involvement in scams, hacks, or illicit behavior.
- High transaction count on a single chain without cross-chain activity may indicate specialized operational use or automated interactions.
- Absence of token transfers and alerts reduces suspicion but warrants monitoring for unusual patterns given concentrated activity.
Summary: The address is highly active solely on the Base chain with no red flags or alerts. The pattern suggests legitimate operational or contract-related use rather than manipulative behavior. Continued monitoring is recommended to detect any emerging suspicious activity.</w:t>
      </w:r>
    </w:p>
    <w:p>
      <w:r>
        <w:t xml:space="preserve">SAR Summary</w:t>
      </w:r>
    </w:p>
    <w:p>
      <w:r>
        <w:t xml:space="preserve">Entity: Address 0x8e23c372e3f019f4b9ebceb73ef33e00aa3edb0b  
Key Behavior: Exclusively active on the Base blockchain with 3,578 transactions; no activity or token transfers on Ethereum, Polygon, BSC, Arbitrum, Optimism, or other chains.  
Risk Rationale: High transaction volume confined to a single chain without token movement or alerts suggests specialized operational or automated contract use rather than illicit activity. Absence of cross-chain activity and alerts reduces immediate risk but concentrated activity warrants ongoing observation.  
Chain Footprint: Active solely on Base chain; inactive on major chains including Ethereum, Polygon, BSC, Arbitrum, Optimism, Avalanche-Fuji, and Sepolia.  
Suggested Compliance Action: No immediate action required; maintain routine monitoring for unusual transaction patterns or emerging alerts to promptly identify potential misuse or suspicious behavior.</w:t>
      </w:r>
    </w:p>
    <w:p>
      <w:r>
        <w:t xml:space="preserve">Chain Activity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Chain</w:t>
            </w:r>
          </w:p>
        </w:tc>
        <w:tc>
          <w:p>
            <w:r>
              <w:rPr>
                <w:b/>
                <w:bCs/>
              </w:rPr>
              <w:t xml:space="preserve">Activity</w:t>
            </w:r>
          </w:p>
        </w:tc>
        <w:tc>
          <w:p>
            <w:r>
              <w:rPr>
                <w:b/>
                <w:bCs/>
              </w:rPr>
              <w:t xml:space="preserve">Tx Count</w:t>
            </w:r>
          </w:p>
        </w:tc>
        <w:tc>
          <w:p>
            <w:r>
              <w:rPr>
                <w:b/>
                <w:bCs/>
              </w:rPr>
              <w:t xml:space="preserve">Balance (wei)</w:t>
            </w:r>
          </w:p>
        </w:tc>
      </w:tr>
      <w:tr>
        <w:tc>
          <w:p>
            <w:r>
              <w:t xml:space="preserve">ethereum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polygon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bsc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arbitrum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optimism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base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3578</w:t>
            </w:r>
          </w:p>
        </w:tc>
        <w:tc>
          <w:p>
            <w:r>
              <w:t xml:space="preserve">1136743193902246</w:t>
            </w:r>
          </w:p>
        </w:tc>
      </w:tr>
      <w:tr>
        <w:tc>
          <w:p>
            <w:r>
              <w:t xml:space="preserve">avalanche-fuji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sepolia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</w:tbl>
    <w:p>
      <w:r>
        <w:t xml:space="preserve">Alerts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Type</w:t>
            </w:r>
          </w:p>
        </w:tc>
        <w:tc>
          <w:p>
            <w:r>
              <w:rPr>
                <w:b/>
                <w:bCs/>
              </w:rPr>
              <w:t xml:space="preserve">Risk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2026-01-18T13:52:26.075Z</dcterms:created>
  <dcterms:modified xsi:type="dcterms:W3CDTF">2026-01-18T13:52:26.075Z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