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Market Manipulation Investigation</w:t>
      </w:r>
    </w:p>
    <w:p>
      <w:r>
        <w:rPr>
          <w:b/>
          <w:bCs/>
        </w:rPr>
        <w:t xml:space="preserve">Address: 0x907d668d7156d1677452789a3744a02647263aea</w:t>
      </w:r>
    </w:p>
    <w:p>
      <w:r>
        <w:t xml:space="preserve">Token: n/a</w:t>
      </w:r>
    </w:p>
    <w:p>
      <w:r>
        <w:t xml:space="preserve">Risk Score: 20</w:t>
      </w:r>
    </w:p>
    <w:p>
      <w:r>
        <w:t xml:space="preserve">Generated: 2026-01-18T13:49:43.229Z</w:t>
      </w:r>
    </w:p>
    <w:p>
      <w:r>
        <w:t xml:space="preserve">AI Narrative</w:t>
      </w:r>
    </w:p>
    <w:p>
      <w:r>
        <w:t xml:space="preserve">Address 0x907d668d7156d1677452789a3744a02647263aea Analysis:
- Chain Activity:
  - Exclusively active on Base chain with 87 transactions.
  - No activity on major chains like Ethereum, Polygon, BSC, Arbitrum, Optimism, Avalanche-Fuji, or Sepolia.
- Token Interaction:
  - No token transfers or holdings detected.
- Alerts:
  - No compliance or risk alerts triggered.
- Red Flags / Manipulation Indicators:
  - Concentrated activity solely on Base chain may suggest niche or isolated operations.
  - Absence of token activity could indicate either a contract or wallet with limited use.
  - No suspicious patterns or alerts detected in transaction history.
Summary: The address is active only on the Base chain with moderate transaction volume and no token involvement. No immediate signs of manipulation or compliance risk are present. Further monitoring recommended if activity scope expands.</w:t>
      </w:r>
    </w:p>
    <w:p>
      <w:r>
        <w:t xml:space="preserve">SAR Summary</w:t>
      </w:r>
    </w:p>
    <w:p>
      <w:r>
        <w:t xml:space="preserve">Entity: Address 0x907d668d7156d1677452789a3744a02647263aea  
Key Behavior: Exclusively active on the Base blockchain with 87 transactions; no activity or token transfers on Ethereum, Polygon, BSC, Arbitrum, Optimism, Avalanche-Fuji, or Sepolia chains.  
Risk Rationale: Moderate transaction volume confined to a single chain with no token interactions suggests limited operational scope; absence of alerts or suspicious patterns indicates low immediate compliance risk.  
Chain Footprint: Solely active on Base chain; inactive on all other major chains monitored.  
Suggested Compliance Action: Status cleared; recommend continued monitoring for any expansion in activity scope or emergence of token interactions that may warrant further review.</w:t>
      </w:r>
    </w:p>
    <w:p>
      <w:r>
        <w:t xml:space="preserve">Chain Activity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Chain</w:t>
            </w:r>
          </w:p>
        </w:tc>
        <w:tc>
          <w:p>
            <w:r>
              <w:rPr>
                <w:b/>
                <w:bCs/>
              </w:rPr>
              <w:t xml:space="preserve">Activity</w:t>
            </w:r>
          </w:p>
        </w:tc>
        <w:tc>
          <w:p>
            <w:r>
              <w:rPr>
                <w:b/>
                <w:bCs/>
              </w:rPr>
              <w:t xml:space="preserve">Tx Count</w:t>
            </w:r>
          </w:p>
        </w:tc>
        <w:tc>
          <w:p>
            <w:r>
              <w:rPr>
                <w:b/>
                <w:bCs/>
              </w:rPr>
              <w:t xml:space="preserve">Balance (wei)</w:t>
            </w:r>
          </w:p>
        </w:tc>
      </w:tr>
      <w:tr>
        <w:tc>
          <w:p>
            <w:r>
              <w:t xml:space="preserve">ethereum</w:t>
            </w:r>
          </w:p>
        </w:tc>
        <w:tc>
          <w:p>
            <w:r>
              <w:t xml:space="preserve">No</w:t>
            </w:r>
          </w:p>
        </w:tc>
        <w:tc>
          <w:p>
            <w:r>
              <w:t xml:space="preserve">0</w:t>
            </w:r>
          </w:p>
        </w:tc>
        <w:tc>
          <w:p>
            <w:r>
              <w:t xml:space="preserve">0</w:t>
            </w:r>
          </w:p>
        </w:tc>
      </w:tr>
      <w:tr>
        <w:tc>
          <w:p>
            <w:r>
              <w:t xml:space="preserve">polygon</w:t>
            </w:r>
          </w:p>
        </w:tc>
        <w:tc>
          <w:p>
            <w:r>
              <w:t xml:space="preserve">No</w:t>
            </w:r>
          </w:p>
        </w:tc>
        <w:tc>
          <w:p>
            <w:r>
              <w:t xml:space="preserve">0</w:t>
            </w:r>
          </w:p>
        </w:tc>
        <w:tc>
          <w:p>
            <w:r>
              <w:t xml:space="preserve">0</w:t>
            </w:r>
          </w:p>
        </w:tc>
      </w:tr>
      <w:tr>
        <w:tc>
          <w:p>
            <w:r>
              <w:t xml:space="preserve">bsc</w:t>
            </w:r>
          </w:p>
        </w:tc>
        <w:tc>
          <w:p>
            <w:r>
              <w:t xml:space="preserve">No</w:t>
            </w:r>
          </w:p>
        </w:tc>
        <w:tc>
          <w:p>
            <w:r>
              <w:t xml:space="preserve">0</w:t>
            </w:r>
          </w:p>
        </w:tc>
        <w:tc>
          <w:p>
            <w:r>
              <w:t xml:space="preserve">0</w:t>
            </w:r>
          </w:p>
        </w:tc>
      </w:tr>
      <w:tr>
        <w:tc>
          <w:p>
            <w:r>
              <w:t xml:space="preserve">arbitrum</w:t>
            </w:r>
          </w:p>
        </w:tc>
        <w:tc>
          <w:p>
            <w:r>
              <w:t xml:space="preserve">No</w:t>
            </w:r>
          </w:p>
        </w:tc>
        <w:tc>
          <w:p>
            <w:r>
              <w:t xml:space="preserve">0</w:t>
            </w:r>
          </w:p>
        </w:tc>
        <w:tc>
          <w:p>
            <w:r>
              <w:t xml:space="preserve">0</w:t>
            </w:r>
          </w:p>
        </w:tc>
      </w:tr>
      <w:tr>
        <w:tc>
          <w:p>
            <w:r>
              <w:t xml:space="preserve">optimism</w:t>
            </w:r>
          </w:p>
        </w:tc>
        <w:tc>
          <w:p>
            <w:r>
              <w:t xml:space="preserve">No</w:t>
            </w:r>
          </w:p>
        </w:tc>
        <w:tc>
          <w:p>
            <w:r>
              <w:t xml:space="preserve">0</w:t>
            </w:r>
          </w:p>
        </w:tc>
        <w:tc>
          <w:p>
            <w:r>
              <w:t xml:space="preserve">0</w:t>
            </w:r>
          </w:p>
        </w:tc>
      </w:tr>
      <w:tr>
        <w:tc>
          <w:p>
            <w:r>
              <w:t xml:space="preserve">base</w:t>
            </w:r>
          </w:p>
        </w:tc>
        <w:tc>
          <w:p>
            <w:r>
              <w:t xml:space="preserve">Yes</w:t>
            </w:r>
          </w:p>
        </w:tc>
        <w:tc>
          <w:p>
            <w:r>
              <w:t xml:space="preserve">87</w:t>
            </w:r>
          </w:p>
        </w:tc>
        <w:tc>
          <w:p>
            <w:r>
              <w:t xml:space="preserve">119090714795358</w:t>
            </w:r>
          </w:p>
        </w:tc>
      </w:tr>
      <w:tr>
        <w:tc>
          <w:p>
            <w:r>
              <w:t xml:space="preserve">avalanche-fuji</w:t>
            </w:r>
          </w:p>
        </w:tc>
        <w:tc>
          <w:p>
            <w:r>
              <w:t xml:space="preserve">No</w:t>
            </w:r>
          </w:p>
        </w:tc>
        <w:tc>
          <w:p>
            <w:r>
              <w:t xml:space="preserve">0</w:t>
            </w:r>
          </w:p>
        </w:tc>
        <w:tc>
          <w:p>
            <w:r>
              <w:t xml:space="preserve">0</w:t>
            </w:r>
          </w:p>
        </w:tc>
      </w:tr>
      <w:tr>
        <w:tc>
          <w:p>
            <w:r>
              <w:t xml:space="preserve">sepolia</w:t>
            </w:r>
          </w:p>
        </w:tc>
        <w:tc>
          <w:p>
            <w:r>
              <w:t xml:space="preserve">No</w:t>
            </w:r>
          </w:p>
        </w:tc>
        <w:tc>
          <w:p>
            <w:r>
              <w:t xml:space="preserve">0</w:t>
            </w:r>
          </w:p>
        </w:tc>
        <w:tc>
          <w:p>
            <w:r>
              <w:t xml:space="preserve">0</w:t>
            </w:r>
          </w:p>
        </w:tc>
      </w:tr>
    </w:tbl>
    <w:p>
      <w:r>
        <w:t xml:space="preserve">Alerts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Type</w:t>
            </w:r>
          </w:p>
        </w:tc>
        <w:tc>
          <w:p>
            <w:r>
              <w:rPr>
                <w:b/>
                <w:bCs/>
              </w:rPr>
              <w:t xml:space="preserve">Risk</w:t>
            </w:r>
          </w:p>
        </w:tc>
        <w:tc>
          <w:p>
            <w:r>
              <w:rPr>
                <w:b/>
                <w:bCs/>
              </w:rPr>
              <w:t xml:space="preserve">Severity</w:t>
            </w:r>
          </w:p>
        </w:tc>
        <w:tc>
          <w:p>
            <w:r>
              <w:rPr>
                <w:b/>
                <w:bCs/>
              </w:rPr>
              <w:t xml:space="preserve">Description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2026-01-18T13:49:45.306Z</dcterms:created>
  <dcterms:modified xsi:type="dcterms:W3CDTF">2026-01-18T13:49:45.306Z</dcterms:modified>
</cp:coreProperties>
</file>

<file path=docProps/custom.xml><?xml version="1.0" encoding="utf-8"?>
<Properties xmlns="http://schemas.openxmlformats.org/officeDocument/2006/custom-properties" xmlns:vt="http://schemas.openxmlformats.org/officeDocument/2006/docPropsVTypes"/>
</file>