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0x9e9e8c527b807576b8a1a8f06390d7445a3e1035</w:t>
      </w:r>
    </w:p>
    <w:p>
      <w:r>
        <w:t xml:space="preserve">Token: n/a</w:t>
      </w:r>
    </w:p>
    <w:p>
      <w:r>
        <w:t xml:space="preserve">Risk Score: 95</w:t>
      </w:r>
    </w:p>
    <w:p>
      <w:r>
        <w:t xml:space="preserve">Generated: 2026-01-18T13:34:33.520Z</w:t>
      </w:r>
    </w:p>
    <w:p>
      <w:r>
        <w:t xml:space="preserve">AI Narrative</w:t>
      </w:r>
    </w:p>
    <w:p>
      <w:r>
        <w:t xml:space="preserve">Address 0x9e9e8c527b807576b8a1a8f06390d7445a3e1035 Analysis:
- Chain Activity: Inactive on major chains (Ethereum, Polygon, BSC, Arbitrum, Optimism, Avalanche-Fuji, Sepolia).
- Active only on Base chain with 16,395 transactions.
- Alerts on Base chain indicate high-risk manipulation:
  - PUMP_AND_DUMP detected with an extreme 277,767,198,915,557,696% price pump followed by an 89.71% dump, a classic sign of market manipulation to artificially inflate and then crash asset value.
  - VOLUME_SPIKE shows a 3.73x increase over average volume, supporting suspicion of coordinated trading activity to manipulate market perception.
- No token association, suggesting activity may be related to address-level trading or wash trading schemes rather than a specific token.
Summary: The address exhibits strong indicators of market manipulation on the Base chain, characterized by extreme pump-and-dump patterns and unusual volume spikes. This behavior poses significant compliance and market integrity risks.</w:t>
      </w:r>
    </w:p>
    <w:p>
      <w:r>
        <w:t xml:space="preserve">SAR Summary</w:t>
      </w:r>
    </w:p>
    <w:p>
      <w:r>
        <w:t xml:space="preserve">Entity: Address 0x9e9e8c527b807576b8a1a8f06390d7445a3e1035  
Key Behavior: Engaged in a classic pump-and-dump scheme on the Base chain, with an extreme 2.78e17% price pump followed by an 89.71% price dump; accompanied by a 3.73x volume spike indicating coordinated trading activity.  
Risk Rationale: The manipulation pattern artificially inflates and crashes asset value, undermining market integrity and posing significant compliance risks related to market manipulation and potential wash trading.  
Chain Footprint: Inactive on major chains (Ethereum, Polygon, BSC, Arbitrum, Optimism, Avalanche-Fuji, Sepolia); active solely on Base chain with 16,395 transactions. No associated token detected, suggesting address-level manipulation rather than token-specific activity.  
Suggested Compliance Action: Initiate enhanced due diligence on the address and related transactions; monitor for further manipulative behavior; consider restricting or flagging for regulatory reporting; coordinate with Base chain authorities to investigate potential market abuse and enforce relevant sanctions.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16395</w:t>
            </w:r>
          </w:p>
        </w:tc>
        <w:tc>
          <w:p>
            <w:r>
              <w:t xml:space="preserve">524387608497118878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277767198915557696.00% pump followed by -89.71% dump. Classic manipulation pattern.</w:t>
            </w:r>
          </w:p>
        </w:tc>
      </w:tr>
      <w:tr>
        <w:tc>
          <w:p>
            <w:r>
              <w:t xml:space="preserve">VOLUME_SPIKE</w:t>
            </w:r>
          </w:p>
        </w:tc>
        <w:tc>
          <w:p>
            <w:r>
              <w:t xml:space="preserve">55.87523654904975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Unusual volume spike detected: 3.73x average volume. Possible manipulation.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2026-01-18T13:34:37.993Z</dcterms:created>
  <dcterms:modified xsi:type="dcterms:W3CDTF">2026-01-18T13:34:37.993Z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