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0x9e9e8c527b807576b8a1a8f06390d7445a3e1035</w:t>
      </w:r>
    </w:p>
    <w:p>
      <w:r>
        <w:t xml:space="preserve">Token: n/a</w:t>
      </w:r>
    </w:p>
    <w:p>
      <w:r>
        <w:t xml:space="preserve">Risk Score: 95</w:t>
      </w:r>
    </w:p>
    <w:p>
      <w:r>
        <w:t xml:space="preserve">Generated: 2026-01-18T13:41:17.221Z</w:t>
      </w:r>
    </w:p>
    <w:p>
      <w:r>
        <w:t xml:space="preserve">AI Narrative</w:t>
      </w:r>
    </w:p>
    <w:p>
      <w:r>
        <w:t xml:space="preserve">Address 0x9e9e8c527b807576b8a1a8f06390d7445a3e1035 Analysis:
- Chain Activity: Exclusively active on Base chain with 16,396 transactions; no activity on Ethereum, Polygon, BSC, Arbitrum, Optimism, Avalanche Fuji, or Sepolia.
- Alert: High-risk pump and dump scheme detected on Base chain.
- Manipulation Pattern: Extreme price inflation ("Infinity%" pump) followed by a sharp 97.24% price crash.
- Risk Level: Very high (95/100), indicating probable market manipulation.
- Implication: The address is likely involved in orchestrating or benefiting from classic pump and dump schemes, posing significant risk to investors and market integrity.
- Recommendation: Exercise caution in any dealings with this address; further monitoring and potential regulatory scrutiny advised.</w:t>
      </w:r>
    </w:p>
    <w:p>
      <w:r>
        <w:t xml:space="preserve">SAR Summary</w:t>
      </w:r>
    </w:p>
    <w:p>
      <w:r>
        <w:t xml:space="preserve">Entity: Address 0x9e9e8c527b807576b8a1a8f06390d7445a3e1035  
Key Behavior: Engaged in a classic pump and dump scheme on the Base blockchain, characterized by an extreme price inflation ("Infinity%" pump) followed by a 97.24% price crash.  
Risk Rationale: The pattern indicates deliberate market manipulation aimed at artificially inflating token value to mislead investors, resulting in significant financial losses and undermining market integrity. RiskScore is 95/100, denoting very high risk.  
Chain Footprint: Exclusively active on the Base chain with 16,396 transactions; no activity detected on Ethereum, Polygon, BSC, Arbitrum, Optimism, Avalanche Fuji, or Sepolia chains.  
Suggested Compliance Action: Initiate enhanced due diligence and continuous monitoring of this address’s activity. Consider flagging for regulatory investigation to prevent further market abuse. Exercise caution in any transactions involving this entity.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16396</w:t>
            </w:r>
          </w:p>
        </w:tc>
        <w:tc>
          <w:p>
            <w:r>
              <w:t xml:space="preserve">494387045023755385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Infinity% pump followed by -97.24% dump. Classic manipulation pattern.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2026-01-18T13:41:21.675Z</dcterms:created>
  <dcterms:modified xsi:type="dcterms:W3CDTF">2026-01-18T13:41:21.675Z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