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0x9e9e8c527b807576b8a1a8f06390d7445a3e1035</w:t>
      </w:r>
    </w:p>
    <w:p>
      <w:r>
        <w:t xml:space="preserve">Token: n/a</w:t>
      </w:r>
    </w:p>
    <w:p>
      <w:r>
        <w:t xml:space="preserve">Risk Score: 95</w:t>
      </w:r>
    </w:p>
    <w:p>
      <w:r>
        <w:t xml:space="preserve">Generated: 2026-01-18T13:50:31.541Z</w:t>
      </w:r>
    </w:p>
    <w:p>
      <w:r>
        <w:t xml:space="preserve">AI Narrative</w:t>
      </w:r>
    </w:p>
    <w:p>
      <w:r>
        <w:t xml:space="preserve">Address 0x9e9e8c527b807576b8a1a8f06390d7445a3e1035 Analysis:
- Activity confined exclusively to Base chain with 16,399 transactions; no activity on Ethereum, Polygon, BSC, Arbitrum, Optimism, Avalanche-Fuji, or Sepolia.
- High-risk alert for pump and dump scheme on Base chain:
  - Detected an extreme price pump (Infinity% increase) followed by a severe dump (-96.96%).
  - Classic manipulation pattern indicative of market manipulation to artificially inflate and then crash asset value.
- No token transfers or multi-chain diversification, suggesting focused manipulation on Base chain assets.
- The volume and pattern strongly suggest orchestrated market manipulation, posing high risk to investors and counterparties.
Conclusion: The address is heavily involved in a pump and dump scheme on the Base chain, representing a significant manipulation red flag. Caution and further monitoring recommended.</w:t>
      </w:r>
    </w:p>
    <w:p>
      <w:r>
        <w:t xml:space="preserve">SAR Summary</w:t>
      </w:r>
    </w:p>
    <w:p>
      <w:r>
        <w:t xml:space="preserve">Entity: Address 0x9e9e8c527b807576b8a1a8f06390d7445a3e1035  
Key Behavior: Engaged in a pump and dump scheme on the Base blockchain, exhibiting an extreme price increase (Infinity%) followed by a sharp decline (-96.96%).  
Risk Rationale: The detected price manipulation pattern is a classic market manipulation tactic designed to artificially inflate asset prices before a rapid crash, posing significant financial risk to investors and counterparties.  
Chain Footprint: Exclusively active on the Base chain with 16,399 transactions; no activity on Ethereum, Polygon, BSC, Arbitrum, Optimism, Avalanche-Fuji, or Sepolia, indicating focused manipulation efforts on a single chain.  
Suggested Compliance Action: Flag the address for enhanced due diligence and continuous monitoring. Consider restricting or scrutinizing transactions involving this address to prevent facilitation of market manipulation and protect investor interests. Further investigation into associated entities and assets on the Base chain is recommended.</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16399</w:t>
            </w:r>
          </w:p>
        </w:tc>
        <w:tc>
          <w:p>
            <w:r>
              <w:t xml:space="preserve">399985194327286792</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r>
        <w:tc>
          <w:p>
            <w:r>
              <w:t xml:space="preserve">PUMP_AND_DUMP</w:t>
            </w:r>
          </w:p>
        </w:tc>
        <w:tc>
          <w:p>
            <w:r>
              <w:t xml:space="preserve">95</w:t>
            </w:r>
          </w:p>
        </w:tc>
        <w:tc>
          <w:p>
            <w:r>
              <w:t xml:space="preserve">critical</w:t>
            </w:r>
          </w:p>
        </w:tc>
        <w:tc>
          <w:p>
            <w:r>
              <w:t xml:space="preserve">Pump and dump scheme detected: Infinity% pump followed by -96.96% dump. Classic manipulation pattern.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2026-01-18T13:50:35.271Z</dcterms:created>
  <dcterms:modified xsi:type="dcterms:W3CDTF">2026-01-18T13:50:35.271Z</dcterms:modified>
</cp:coreProperties>
</file>

<file path=docProps/custom.xml><?xml version="1.0" encoding="utf-8"?>
<Properties xmlns="http://schemas.openxmlformats.org/officeDocument/2006/custom-properties" xmlns:vt="http://schemas.openxmlformats.org/officeDocument/2006/docPropsVTypes"/>
</file>