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0xae537206d4274b4b8591e21a259e9f73c2449339</w:t>
      </w:r>
    </w:p>
    <w:p>
      <w:r>
        <w:t xml:space="preserve">Token: n/a</w:t>
      </w:r>
    </w:p>
    <w:p>
      <w:r>
        <w:t xml:space="preserve">Risk Score: 95</w:t>
      </w:r>
    </w:p>
    <w:p>
      <w:r>
        <w:t xml:space="preserve">Generated: 2026-01-18T13:36:09.268Z</w:t>
      </w:r>
    </w:p>
    <w:p>
      <w:r>
        <w:t xml:space="preserve">AI Narrative</w:t>
      </w:r>
    </w:p>
    <w:p>
      <w:r>
        <w:t xml:space="preserve">Address: 0xae537206d4274b4b8591e21a259e9f73c2449339  
Chain: Base  
Activity: Highly active with 18,567 transactions  
Manipulation/Red Flags:  
- Detected pump and dump scheme with an extreme price pump of 224,215,246,636,771,168% followed by a 100% dump  
- Classic manipulation pattern indicating coordinated price inflation and rapid sell-off  
- High transaction volume on Base chain suggests active trading possibly linked to manipulation  
- No activity on major chains like Ethereum, Polygon, BSC, Arbitrum, or Avalanche, indicating focus on Base chain for operations  
Summary: The address is heavily active on the Base chain and involved in a severe pump and dump scheme, representing a high manipulation risk. This pattern is a strong indicator of market manipulation and potential fraud.</w:t>
      </w:r>
    </w:p>
    <w:p>
      <w:r>
        <w:t xml:space="preserve">SAR Summary</w:t>
      </w:r>
    </w:p>
    <w:p>
      <w:r>
        <w:t xml:space="preserve">Entity: Address 0xae537206d4274b4b8591e21a259e9f73c2449339  
Chain Footprint: Exclusively active on Base chain with 18,567 transactions; no activity on Ethereum, Polygon, BSC, Arbitrum, or Avalanche.  
Key Behavior: Engaged in a classic pump and dump scheme characterized by an extreme price increase of approximately 2.24×10^17% followed by a complete 100% price collapse.  
Risk Rationale: The manipulation pattern indicates coordinated artificial price inflation followed by rapid sell-off, suggesting market manipulation and potential fraudulent activity. High transaction volume on a single chain supports the likelihood of orchestrated trading to mislead market participants.  
Suggested Compliance Action: Flag for enhanced monitoring and investigation; consider transaction pattern analysis and source of funds review. Recommend alerting market surveillance teams and, if applicable, filing a Suspicious Activity Report (SAR) for potential market manipulation and fraud.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18567</w:t>
            </w:r>
          </w:p>
        </w:tc>
        <w:tc>
          <w:p>
            <w:r>
              <w:t xml:space="preserve">249664847461132538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224215246636771168.00% pump followed by -100.00% dump. Classic manipulation pattern.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2026-01-18T13:36:13.745Z</dcterms:created>
  <dcterms:modified xsi:type="dcterms:W3CDTF">2026-01-18T13:36:13.745Z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